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D7CB12" w14:textId="7A9299C1" w:rsidR="009374D3" w:rsidRDefault="00C54249">
      <w:pPr>
        <w:spacing w:before="78"/>
        <w:ind w:left="140" w:right="615"/>
        <w:rPr>
          <w:rFonts w:ascii="Cambria" w:hAnsi="Cambria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ACA6BE4" wp14:editId="15824F97">
                <wp:simplePos x="0" y="0"/>
                <wp:positionH relativeFrom="page">
                  <wp:posOffset>893721</wp:posOffset>
                </wp:positionH>
                <wp:positionV relativeFrom="paragraph">
                  <wp:posOffset>1156279</wp:posOffset>
                </wp:positionV>
                <wp:extent cx="5981700" cy="0"/>
                <wp:effectExtent l="9525" t="9525" r="9525" b="9525"/>
                <wp:wrapTopAndBottom/>
                <wp:docPr id="13" name="Line 9" title="Decorative fig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2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5C91" id="Line 9" o:spid="_x0000_s1026" alt="Title: Decorative figure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35pt,91.05pt" to="541.3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" strokecolor="#4f82bd" strokeweight=".96pt">
                <w10:wrap type="topAndBottom" anchorx="page"/>
              </v:line>
            </w:pict>
          </mc:Fallback>
        </mc:AlternateContent>
      </w:r>
      <w:r w:rsidR="008970D8">
        <w:rPr>
          <w:rFonts w:ascii="Cambria" w:hAnsi="Cambria"/>
          <w:color w:val="17365D"/>
          <w:sz w:val="48"/>
        </w:rPr>
        <w:t>Setting</w:t>
      </w:r>
      <w:r w:rsidR="00055041">
        <w:rPr>
          <w:rFonts w:ascii="Cambria" w:hAnsi="Cambria"/>
          <w:color w:val="17365D"/>
          <w:sz w:val="48"/>
        </w:rPr>
        <w:t xml:space="preserve"> and Adjusting Patent Fees during Fiscal Year 2020</w:t>
      </w:r>
      <w:r w:rsidR="008970D8">
        <w:rPr>
          <w:rFonts w:ascii="Cambria" w:hAnsi="Cambria"/>
          <w:color w:val="17365D"/>
          <w:sz w:val="48"/>
        </w:rPr>
        <w:t>—Description of Elasticity Estimates</w:t>
      </w:r>
    </w:p>
    <w:p w14:paraId="76963E56" w14:textId="77C9075D" w:rsidR="009374D3" w:rsidRDefault="009374D3">
      <w:pPr>
        <w:pStyle w:val="BodyText"/>
        <w:spacing w:before="1"/>
        <w:rPr>
          <w:rFonts w:ascii="Cambria"/>
          <w:sz w:val="15"/>
        </w:rPr>
      </w:pPr>
    </w:p>
    <w:p w14:paraId="15FF6010" w14:textId="7A4DA4A3" w:rsidR="009374D3" w:rsidRPr="00F7162B" w:rsidRDefault="008970D8" w:rsidP="00D5004D">
      <w:pPr>
        <w:pStyle w:val="BodyText"/>
        <w:spacing w:before="120" w:line="480" w:lineRule="auto"/>
        <w:ind w:left="140" w:right="144" w:firstLine="580"/>
      </w:pPr>
      <w:r>
        <w:t xml:space="preserve">This </w:t>
      </w:r>
      <w:r w:rsidR="00B42AA2">
        <w:t>appendix</w:t>
      </w:r>
      <w:r>
        <w:t xml:space="preserve"> describes the statistical </w:t>
      </w:r>
      <w:r w:rsidR="006E422C">
        <w:t xml:space="preserve">modeling and estimation of </w:t>
      </w:r>
      <w:r w:rsidR="00E52C61">
        <w:t xml:space="preserve">the </w:t>
      </w:r>
      <w:r w:rsidR="006E422C">
        <w:t>U</w:t>
      </w:r>
      <w:r w:rsidR="000B5925">
        <w:t>nited States Patent and Trademark Office (U</w:t>
      </w:r>
      <w:r w:rsidR="006E422C">
        <w:t>SPTO</w:t>
      </w:r>
      <w:r w:rsidR="000B5925">
        <w:t>)</w:t>
      </w:r>
      <w:r w:rsidR="006E422C">
        <w:t xml:space="preserve"> </w:t>
      </w:r>
      <w:r w:rsidR="005A4FF9">
        <w:t xml:space="preserve">patent </w:t>
      </w:r>
      <w:r w:rsidR="006E422C">
        <w:t xml:space="preserve">fee elasticities. </w:t>
      </w:r>
      <w:r w:rsidR="00B42AA2">
        <w:t xml:space="preserve">These </w:t>
      </w:r>
      <w:r w:rsidR="003F6C4A">
        <w:t xml:space="preserve">estimates help the </w:t>
      </w:r>
      <w:r w:rsidR="00DB4136">
        <w:t xml:space="preserve">USPTO </w:t>
      </w:r>
      <w:r w:rsidR="009D0EF9">
        <w:t>gauge</w:t>
      </w:r>
      <w:r w:rsidR="003F6C4A">
        <w:t xml:space="preserve"> </w:t>
      </w:r>
      <w:r w:rsidR="009D0EF9">
        <w:t xml:space="preserve">the impact of </w:t>
      </w:r>
      <w:r w:rsidR="005A4FF9">
        <w:t xml:space="preserve">patent </w:t>
      </w:r>
      <w:r w:rsidR="009D0EF9">
        <w:t>f</w:t>
      </w:r>
      <w:r w:rsidR="006E422C">
        <w:t xml:space="preserve">ee changes </w:t>
      </w:r>
      <w:r w:rsidR="009D0EF9">
        <w:t xml:space="preserve">on the demand for services. </w:t>
      </w:r>
      <w:r w:rsidR="00B42AA2">
        <w:t xml:space="preserve">The first section </w:t>
      </w:r>
      <w:r w:rsidR="0055637A">
        <w:t xml:space="preserve">defines the concept of elasticity and </w:t>
      </w:r>
      <w:r w:rsidR="00C37B07">
        <w:t>discusses how elasticities relate to revenue.</w:t>
      </w:r>
      <w:r w:rsidR="00B42AA2">
        <w:t xml:space="preserve"> This is followed by an overview of the </w:t>
      </w:r>
      <w:r w:rsidR="005A4FF9">
        <w:t xml:space="preserve">elasticity </w:t>
      </w:r>
      <w:r w:rsidR="009100A6">
        <w:t>findings</w:t>
      </w:r>
      <w:r w:rsidR="005A4FF9">
        <w:t xml:space="preserve"> in </w:t>
      </w:r>
      <w:r w:rsidR="000B0D48">
        <w:t>nine</w:t>
      </w:r>
      <w:r w:rsidR="009D0EF9">
        <w:t xml:space="preserve"> broad </w:t>
      </w:r>
      <w:r w:rsidR="000B5925">
        <w:t xml:space="preserve">patent </w:t>
      </w:r>
      <w:r w:rsidR="005A4FF9">
        <w:t xml:space="preserve">fee </w:t>
      </w:r>
      <w:r w:rsidR="009D0EF9">
        <w:t>categories: filing/</w:t>
      </w:r>
      <w:r w:rsidR="000B5925">
        <w:t>search</w:t>
      </w:r>
      <w:r w:rsidR="009D0EF9">
        <w:t>/</w:t>
      </w:r>
      <w:r w:rsidR="000B5925">
        <w:t>examination</w:t>
      </w:r>
      <w:r w:rsidR="009D0EF9">
        <w:t xml:space="preserve"> fees, excess independent claims fees, excess total claims fees, </w:t>
      </w:r>
      <w:r w:rsidR="000B5925">
        <w:t>application size (</w:t>
      </w:r>
      <w:r w:rsidR="009D0EF9">
        <w:t>excess page</w:t>
      </w:r>
      <w:r w:rsidR="000B5925">
        <w:t>)</w:t>
      </w:r>
      <w:r w:rsidR="009D0EF9">
        <w:t xml:space="preserve"> fees, issue fees, request for continued examination </w:t>
      </w:r>
      <w:r w:rsidR="009100A6">
        <w:t xml:space="preserve">(RCE) </w:t>
      </w:r>
      <w:r w:rsidR="009D0EF9">
        <w:t xml:space="preserve">fees, appeal fees, America Invents Act </w:t>
      </w:r>
      <w:r w:rsidR="000B5925">
        <w:t xml:space="preserve">(AIA) </w:t>
      </w:r>
      <w:r w:rsidR="009D0EF9">
        <w:t>trial fees, and</w:t>
      </w:r>
      <w:r w:rsidR="009100A6">
        <w:t xml:space="preserve"> </w:t>
      </w:r>
      <w:r w:rsidR="009D0EF9">
        <w:t xml:space="preserve">maintenance fees. </w:t>
      </w:r>
      <w:r w:rsidR="00B42AA2">
        <w:t xml:space="preserve">The </w:t>
      </w:r>
      <w:r w:rsidR="00735363">
        <w:t>final</w:t>
      </w:r>
      <w:r w:rsidR="00B42AA2">
        <w:t xml:space="preserve"> section summarizes the data and statistical approach</w:t>
      </w:r>
      <w:r w:rsidR="00735363">
        <w:t>es</w:t>
      </w:r>
      <w:r w:rsidR="00B42AA2">
        <w:t xml:space="preserve"> use</w:t>
      </w:r>
      <w:r w:rsidR="00735363">
        <w:t>d</w:t>
      </w:r>
      <w:r w:rsidR="00B42AA2">
        <w:t xml:space="preserve"> to estimate </w:t>
      </w:r>
      <w:r w:rsidR="00F7162B">
        <w:t xml:space="preserve">the </w:t>
      </w:r>
      <w:r w:rsidR="00B42AA2">
        <w:t>elasticity values for each categor</w:t>
      </w:r>
      <w:r w:rsidR="00F7162B">
        <w:t>y</w:t>
      </w:r>
      <w:r w:rsidR="00B42AA2">
        <w:t>.</w:t>
      </w:r>
    </w:p>
    <w:p w14:paraId="1CAC5D8F" w14:textId="454F5A75" w:rsidR="009374D3" w:rsidRPr="00F7162B" w:rsidRDefault="00735363" w:rsidP="00D5004D">
      <w:pPr>
        <w:pStyle w:val="Heading1"/>
        <w:numPr>
          <w:ilvl w:val="0"/>
          <w:numId w:val="4"/>
        </w:numPr>
        <w:spacing w:before="120"/>
        <w:ind w:right="144"/>
        <w:jc w:val="left"/>
      </w:pPr>
      <w:r>
        <w:t xml:space="preserve">Elasticities: </w:t>
      </w:r>
      <w:r w:rsidR="00F7162B">
        <w:t xml:space="preserve">Definition and </w:t>
      </w:r>
      <w:r w:rsidR="00C37B07">
        <w:t>Revenue Implications</w:t>
      </w:r>
    </w:p>
    <w:p w14:paraId="1B8DE9FB" w14:textId="77777777" w:rsidR="009374D3" w:rsidRDefault="009374D3" w:rsidP="00D5004D">
      <w:pPr>
        <w:pStyle w:val="BodyText"/>
        <w:spacing w:before="120"/>
        <w:rPr>
          <w:b/>
          <w:sz w:val="22"/>
        </w:rPr>
      </w:pPr>
    </w:p>
    <w:p w14:paraId="7A101085" w14:textId="7F0333E4" w:rsidR="003E5560" w:rsidRPr="00BD591E" w:rsidRDefault="00735363" w:rsidP="00D5004D">
      <w:pPr>
        <w:pStyle w:val="BodyText"/>
        <w:spacing w:before="120" w:line="480" w:lineRule="auto"/>
        <w:ind w:left="139" w:right="144" w:firstLine="581"/>
      </w:pPr>
      <w:r w:rsidRPr="00BD591E">
        <w:t>In economics, the p</w:t>
      </w:r>
      <w:r w:rsidR="008970D8" w:rsidRPr="00BD591E">
        <w:t xml:space="preserve">rice elasticity of demand (elasticity) is a measurement of how sensitive consumers are to changes in </w:t>
      </w:r>
      <w:r w:rsidR="00311130" w:rsidRPr="00BD591E">
        <w:t xml:space="preserve">the </w:t>
      </w:r>
      <w:r w:rsidR="008970D8" w:rsidRPr="00BD591E">
        <w:t>price</w:t>
      </w:r>
      <w:r w:rsidR="00311130" w:rsidRPr="00BD591E">
        <w:t xml:space="preserve"> of a product or service</w:t>
      </w:r>
      <w:r w:rsidR="008970D8" w:rsidRPr="00BD591E">
        <w:t xml:space="preserve">. </w:t>
      </w:r>
      <w:r w:rsidR="006615B3" w:rsidRPr="00BD591E">
        <w:t>For the USPTO, patent fee elasticit</w:t>
      </w:r>
      <w:r w:rsidR="00913668" w:rsidRPr="00BD591E">
        <w:t>ies</w:t>
      </w:r>
      <w:r w:rsidR="006615B3" w:rsidRPr="00BD591E">
        <w:t xml:space="preserve"> </w:t>
      </w:r>
      <w:r w:rsidR="00913668" w:rsidRPr="00BD591E">
        <w:t xml:space="preserve">help gauge the sensitivity (or reactivity) of stakeholders to potential </w:t>
      </w:r>
      <w:r w:rsidR="006615B3" w:rsidRPr="00BD591E">
        <w:t>fee change</w:t>
      </w:r>
      <w:r w:rsidR="00913668" w:rsidRPr="00BD591E">
        <w:t>s</w:t>
      </w:r>
      <w:r w:rsidR="006615B3" w:rsidRPr="00BD591E">
        <w:t>.</w:t>
      </w:r>
      <w:r w:rsidR="00311130" w:rsidRPr="00BD591E">
        <w:t xml:space="preserve"> The elasticity (of demand) for a USPTO service is defined as the percentage change in the quantity of the service demanded by stakeholders divided by the percentage change in the fee</w:t>
      </w:r>
      <w:r w:rsidR="003E5560" w:rsidRPr="00BD591E">
        <w:t xml:space="preserve"> for that service. To make this </w:t>
      </w:r>
      <w:r w:rsidR="00E52C61">
        <w:t>example</w:t>
      </w:r>
      <w:r w:rsidR="003E5560" w:rsidRPr="00BD591E">
        <w:t xml:space="preserve"> concrete, let </w:t>
      </w:r>
      <m:oMath>
        <m:r>
          <w:rPr>
            <w:rFonts w:ascii="Cambria Math" w:hAnsi="Cambria Math"/>
          </w:rPr>
          <m:t>ϵ</m:t>
        </m:r>
      </m:oMath>
      <w:r w:rsidR="003E5560" w:rsidRPr="00BD591E">
        <w:t xml:space="preserve"> represent the elasticity value for a particular fee category (for instance, the filing/</w:t>
      </w:r>
      <w:r w:rsidR="00055041">
        <w:t>search</w:t>
      </w:r>
      <w:r w:rsidR="003E5560" w:rsidRPr="00BD591E">
        <w:t>/</w:t>
      </w:r>
      <w:r w:rsidR="00055041">
        <w:t>examination</w:t>
      </w:r>
      <w:r w:rsidR="003E5560" w:rsidRPr="00BD591E">
        <w:t xml:space="preserve"> fee category). This elasticity is calculated as:</w:t>
      </w:r>
    </w:p>
    <w:p w14:paraId="049AEBE1" w14:textId="0FC63E52" w:rsidR="003E5560" w:rsidRPr="00BD591E" w:rsidRDefault="003E5560" w:rsidP="003D31A0">
      <w:pPr>
        <w:pStyle w:val="BodyText"/>
        <w:widowControl/>
        <w:spacing w:before="120" w:line="480" w:lineRule="auto"/>
        <w:ind w:left="144" w:right="130"/>
        <w:jc w:val="both"/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ϵ=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% change in quantity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% change in fee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%∆Q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%∆F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den>
              </m:f>
            </m:e>
          </m:d>
        </m:oMath>
      </m:oMathPara>
    </w:p>
    <w:p w14:paraId="0D190EAE" w14:textId="6521776C" w:rsidR="002A5A5C" w:rsidRPr="00BD591E" w:rsidRDefault="003748B9" w:rsidP="00D5004D">
      <w:pPr>
        <w:pStyle w:val="BodyText"/>
        <w:spacing w:before="120" w:line="480" w:lineRule="auto"/>
        <w:ind w:left="144" w:right="144"/>
      </w:pPr>
      <w:r>
        <w:t>w</w:t>
      </w:r>
      <w:r w:rsidRPr="00BD591E">
        <w:t xml:space="preserve">here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3A16E3" w:rsidRPr="00BD591E">
        <w:t xml:space="preserve"> is the change in the quantity demanded by stakeholders,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A16E3" w:rsidRPr="00BD591E">
        <w:t xml:space="preserve"> representing the quantity demanded under the new fee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A16E3" w:rsidRPr="00BD591E">
        <w:t xml:space="preserve"> representing the quantity demanded under the original fee. By dividing the change in quantity demanded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A16E3" w:rsidRPr="00BD591E">
        <w:t>, one gets the proportion</w:t>
      </w:r>
      <w:r w:rsidR="003F3ADB" w:rsidRPr="00BD591E">
        <w:t>ate</w:t>
      </w:r>
      <w:r w:rsidR="003A16E3" w:rsidRPr="00BD591E">
        <w:t xml:space="preserve"> change relative to the original quantity demanded. </w:t>
      </w:r>
      <w:r w:rsidR="00CF6172" w:rsidRPr="00BD591E">
        <w:t>The proportionate change in USPTO fees</w:t>
      </w:r>
      <w:r w:rsidR="003F3ADB" w:rsidRPr="00BD591E">
        <w:t>, the denominator of</w:t>
      </w:r>
      <w:r w:rsidR="009F6998">
        <w:t xml:space="preserve"> the</w:t>
      </w:r>
      <w:r w:rsidR="003F3ADB" w:rsidRPr="00BD591E">
        <w:t xml:space="preserve"> equation </w:t>
      </w:r>
      <w:r w:rsidR="00A0122C">
        <w:t>above</w:t>
      </w:r>
      <w:r w:rsidR="003F3ADB" w:rsidRPr="00BD591E">
        <w:t>,</w:t>
      </w:r>
      <w:r w:rsidR="00CF6172" w:rsidRPr="00BD591E">
        <w:t xml:space="preserve"> is calculated similarly. The resulting e</w:t>
      </w:r>
      <w:r w:rsidR="002A5A5C" w:rsidRPr="00BD591E">
        <w:t xml:space="preserve">lasticity values are negative because USPTO stakeholders tend to decrease the quantity demanded as fees increase and increase the quantity demanded as fees fall. </w:t>
      </w:r>
    </w:p>
    <w:p w14:paraId="374F996B" w14:textId="198C194F" w:rsidR="00EC2F50" w:rsidRPr="00BD591E" w:rsidRDefault="00FB2349" w:rsidP="00D5004D">
      <w:pPr>
        <w:pStyle w:val="BodyText"/>
        <w:spacing w:before="120" w:line="480" w:lineRule="auto"/>
        <w:ind w:left="144" w:right="144" w:firstLine="581"/>
      </w:pPr>
      <w:r w:rsidRPr="00BD591E">
        <w:t xml:space="preserve">For </w:t>
      </w:r>
      <w:r w:rsidR="004D386D">
        <w:t>s</w:t>
      </w:r>
      <w:r w:rsidRPr="00BD591E">
        <w:t xml:space="preserve">ervices </w:t>
      </w:r>
      <w:r w:rsidR="00531CFD">
        <w:t xml:space="preserve">for which </w:t>
      </w:r>
      <w:r w:rsidR="008935F1">
        <w:t xml:space="preserve">the </w:t>
      </w:r>
      <w:r w:rsidRPr="00BD591E">
        <w:t xml:space="preserve">USPTO </w:t>
      </w:r>
      <w:r w:rsidR="00531CFD">
        <w:t xml:space="preserve">assesses </w:t>
      </w:r>
      <w:r w:rsidRPr="00BD591E">
        <w:t xml:space="preserve">fees, </w:t>
      </w:r>
      <w:r w:rsidR="002A5A5C" w:rsidRPr="00BD591E">
        <w:t>elasticity</w:t>
      </w:r>
      <w:r w:rsidRPr="00BD591E">
        <w:t xml:space="preserve"> values generally fall into </w:t>
      </w:r>
      <w:r w:rsidR="00FB0B6A" w:rsidRPr="00BD591E">
        <w:t>one</w:t>
      </w:r>
      <w:r w:rsidRPr="00BD591E">
        <w:t xml:space="preserve"> of two ranges. First, when the elasticity is less than zero but greater than -1 (</w:t>
      </w:r>
      <m:oMath>
        <m:r>
          <w:rPr>
            <w:rFonts w:ascii="Cambria Math" w:hAnsi="Cambria Math"/>
          </w:rPr>
          <m:t>-1&lt;ϵ&lt;0</m:t>
        </m:r>
      </m:oMath>
      <w:r w:rsidR="002E13C6" w:rsidRPr="00BD591E">
        <w:t xml:space="preserve">), </w:t>
      </w:r>
      <w:r w:rsidR="00A37AFB">
        <w:t>demand</w:t>
      </w:r>
      <w:r w:rsidR="002E13C6" w:rsidRPr="00BD591E">
        <w:t xml:space="preserve"> is described as </w:t>
      </w:r>
      <w:r w:rsidR="002E13C6" w:rsidRPr="0099688E">
        <w:t>inelastic</w:t>
      </w:r>
      <w:r w:rsidR="002E13C6" w:rsidRPr="00BD591E">
        <w:t xml:space="preserve">. </w:t>
      </w:r>
      <w:r w:rsidR="00FB0B6A" w:rsidRPr="00BD591E">
        <w:t xml:space="preserve">Under inelastic demand, stakeholders </w:t>
      </w:r>
      <w:r w:rsidR="002E13C6" w:rsidRPr="00BD591E">
        <w:t>are relatively insensitive to fee</w:t>
      </w:r>
      <w:r w:rsidR="00FB0B6A" w:rsidRPr="00BD591E">
        <w:t xml:space="preserve"> changes</w:t>
      </w:r>
      <w:r w:rsidR="002E13C6" w:rsidRPr="00BD591E">
        <w:t xml:space="preserve">. </w:t>
      </w:r>
      <w:r w:rsidR="005F10D0" w:rsidRPr="00BD591E">
        <w:t xml:space="preserve">For instance, </w:t>
      </w:r>
      <w:r w:rsidR="002E13C6" w:rsidRPr="00BD591E">
        <w:t xml:space="preserve">a fee increase of </w:t>
      </w:r>
      <w:r w:rsidR="005F10D0" w:rsidRPr="00BD591E">
        <w:t>1</w:t>
      </w:r>
      <w:r w:rsidR="002E13C6" w:rsidRPr="00BD591E">
        <w:t>0</w:t>
      </w:r>
      <w:r w:rsidR="0009544C">
        <w:t xml:space="preserve"> percent</w:t>
      </w:r>
      <w:r w:rsidR="002E13C6" w:rsidRPr="00BD591E">
        <w:t xml:space="preserve"> will result in stakeholder</w:t>
      </w:r>
      <w:r w:rsidR="00FB0B6A" w:rsidRPr="00BD591E">
        <w:t>s</w:t>
      </w:r>
      <w:r w:rsidR="002E13C6" w:rsidRPr="00BD591E">
        <w:t xml:space="preserve"> </w:t>
      </w:r>
      <w:r w:rsidR="00FB0B6A" w:rsidRPr="00BD591E">
        <w:t xml:space="preserve">reducing the quantity of the </w:t>
      </w:r>
      <w:r w:rsidR="002E13C6" w:rsidRPr="00BD591E">
        <w:t>USPTO service</w:t>
      </w:r>
      <w:r w:rsidR="003F3ADB" w:rsidRPr="00BD591E">
        <w:t xml:space="preserve"> demanded</w:t>
      </w:r>
      <w:r w:rsidR="008935F1">
        <w:t>,</w:t>
      </w:r>
      <w:r w:rsidR="00FB0B6A" w:rsidRPr="00BD591E">
        <w:t xml:space="preserve"> but this reduction w</w:t>
      </w:r>
      <w:r w:rsidR="005F10D0" w:rsidRPr="00BD591E">
        <w:t xml:space="preserve">ill be </w:t>
      </w:r>
      <w:r w:rsidR="00FB0B6A" w:rsidRPr="00BD591E">
        <w:t xml:space="preserve">smaller </w:t>
      </w:r>
      <w:r w:rsidR="003F3ADB" w:rsidRPr="00BD591E">
        <w:t xml:space="preserve">than the fee change </w:t>
      </w:r>
      <w:r w:rsidR="00FB0B6A" w:rsidRPr="00BD591E">
        <w:t>(</w:t>
      </w:r>
      <w:r w:rsidR="002E13C6" w:rsidRPr="00BD591E">
        <w:t>less than 10</w:t>
      </w:r>
      <w:r w:rsidR="0009544C">
        <w:t xml:space="preserve"> percent</w:t>
      </w:r>
      <w:r w:rsidR="00FB0B6A" w:rsidRPr="00BD591E">
        <w:t>)</w:t>
      </w:r>
      <w:r w:rsidR="002E13C6" w:rsidRPr="00BD591E">
        <w:t xml:space="preserve">. </w:t>
      </w:r>
      <w:r w:rsidR="005F10D0" w:rsidRPr="00BD591E">
        <w:t xml:space="preserve">In practical terms, </w:t>
      </w:r>
      <w:r w:rsidR="00B56940" w:rsidRPr="00BD591E">
        <w:t xml:space="preserve">inelastic demand for a USPTO service means </w:t>
      </w:r>
      <w:r w:rsidR="005F10D0" w:rsidRPr="00BD591E">
        <w:t xml:space="preserve">an increase in the fee </w:t>
      </w:r>
      <w:r w:rsidR="00B56940" w:rsidRPr="00BD591E">
        <w:t>for that service results in more revenue to the USPTO</w:t>
      </w:r>
      <w:r w:rsidR="00EC2F50" w:rsidRPr="00BD591E">
        <w:t xml:space="preserve">. </w:t>
      </w:r>
      <w:r w:rsidR="005F10D0" w:rsidRPr="00BD591E">
        <w:t>The second range (</w:t>
      </w:r>
      <m:oMath>
        <m:r>
          <w:rPr>
            <w:rFonts w:ascii="Cambria Math" w:hAnsi="Cambria Math"/>
          </w:rPr>
          <m:t>-∞&lt;ϵ&lt;-1</m:t>
        </m:r>
      </m:oMath>
      <w:r w:rsidR="005F10D0" w:rsidRPr="00BD591E">
        <w:t xml:space="preserve">) is </w:t>
      </w:r>
      <w:r w:rsidR="00EC2F50" w:rsidRPr="00BD591E">
        <w:t xml:space="preserve">described as </w:t>
      </w:r>
      <w:r w:rsidR="005F10D0" w:rsidRPr="0099688E">
        <w:t>elastic</w:t>
      </w:r>
      <w:r w:rsidR="005F10D0" w:rsidRPr="00BD591E">
        <w:t xml:space="preserve">. </w:t>
      </w:r>
      <w:r w:rsidR="00EC2F50" w:rsidRPr="00BD591E">
        <w:t>Under elastic demand, stakeholders are relatively sensitive to fee changes. As before, a fee increase of 10</w:t>
      </w:r>
      <w:r w:rsidR="0009544C">
        <w:t xml:space="preserve"> percent</w:t>
      </w:r>
      <w:r w:rsidR="00EC2F50" w:rsidRPr="00BD591E">
        <w:t xml:space="preserve"> will result in stakeholders reducing the quantity of the USPTO service</w:t>
      </w:r>
      <w:r w:rsidR="003F3ADB" w:rsidRPr="00BD591E">
        <w:t xml:space="preserve"> demanded</w:t>
      </w:r>
      <w:r w:rsidR="00EC2F50" w:rsidRPr="00BD591E">
        <w:t xml:space="preserve">, but with elastic demand, this reduction in quantity </w:t>
      </w:r>
      <w:r w:rsidR="003F3ADB" w:rsidRPr="00BD591E">
        <w:t xml:space="preserve">demanded </w:t>
      </w:r>
      <w:r w:rsidR="00EC2F50" w:rsidRPr="00BD591E">
        <w:t xml:space="preserve">will be larger </w:t>
      </w:r>
      <w:r w:rsidR="003F3ADB" w:rsidRPr="00BD591E">
        <w:t xml:space="preserve">than the fee change </w:t>
      </w:r>
      <w:r w:rsidR="00EC2F50" w:rsidRPr="00BD591E">
        <w:t>(greater than 10</w:t>
      </w:r>
      <w:r w:rsidR="0009544C">
        <w:t xml:space="preserve"> percent</w:t>
      </w:r>
      <w:r w:rsidR="00EC2F50" w:rsidRPr="00BD591E">
        <w:t xml:space="preserve">). With elastic demand, </w:t>
      </w:r>
      <w:r w:rsidR="003F3ADB" w:rsidRPr="00BD591E">
        <w:t xml:space="preserve">an increase in the fee for a </w:t>
      </w:r>
      <w:r w:rsidR="00EC2F50" w:rsidRPr="00BD591E">
        <w:t xml:space="preserve">USPTO </w:t>
      </w:r>
      <w:r w:rsidR="003F3ADB" w:rsidRPr="00BD591E">
        <w:t xml:space="preserve">service </w:t>
      </w:r>
      <w:r w:rsidR="00EC2F50" w:rsidRPr="00BD591E">
        <w:t xml:space="preserve">will </w:t>
      </w:r>
      <w:r w:rsidR="003F3ADB" w:rsidRPr="00BD591E">
        <w:t xml:space="preserve">result in </w:t>
      </w:r>
      <w:r w:rsidR="00EC2F50" w:rsidRPr="00BD591E">
        <w:t>l</w:t>
      </w:r>
      <w:r w:rsidR="003F3ADB" w:rsidRPr="00BD591E">
        <w:t>ess</w:t>
      </w:r>
      <w:r w:rsidR="00EC2F50" w:rsidRPr="00BD591E">
        <w:t xml:space="preserve"> revenue</w:t>
      </w:r>
      <w:r w:rsidR="003F3ADB" w:rsidRPr="00BD591E">
        <w:t xml:space="preserve"> for the </w:t>
      </w:r>
      <w:r w:rsidR="008935F1">
        <w:t>O</w:t>
      </w:r>
      <w:r w:rsidR="00DB4136">
        <w:t>ffice</w:t>
      </w:r>
      <w:r w:rsidR="00EC2F50" w:rsidRPr="00BD591E">
        <w:t xml:space="preserve">. </w:t>
      </w:r>
    </w:p>
    <w:p w14:paraId="1C124003" w14:textId="2EB3BC53" w:rsidR="009374D3" w:rsidRPr="00BD591E" w:rsidRDefault="00263F8C" w:rsidP="00D5004D">
      <w:pPr>
        <w:pStyle w:val="BodyText"/>
        <w:spacing w:before="120" w:line="480" w:lineRule="auto"/>
        <w:ind w:left="144" w:right="144" w:firstLine="580"/>
      </w:pPr>
      <w:r w:rsidRPr="00BD591E">
        <w:t>With</w:t>
      </w:r>
      <w:r w:rsidR="002C3112" w:rsidRPr="00BD591E">
        <w:t xml:space="preserve"> an elasticity value</w:t>
      </w:r>
      <w:r w:rsidR="008970D8" w:rsidRPr="00BD591E">
        <w:t xml:space="preserve">, one can </w:t>
      </w:r>
      <w:r w:rsidR="002C3112" w:rsidRPr="00BD591E">
        <w:t xml:space="preserve">determine </w:t>
      </w:r>
      <w:r w:rsidR="008970D8" w:rsidRPr="00BD591E">
        <w:t xml:space="preserve">the impact of a </w:t>
      </w:r>
      <w:r w:rsidR="002C3112" w:rsidRPr="00BD591E">
        <w:t>fee</w:t>
      </w:r>
      <w:r w:rsidR="008970D8" w:rsidRPr="00BD591E">
        <w:t xml:space="preserve"> change on revenues.</w:t>
      </w:r>
      <w:r w:rsidR="00494CAE">
        <w:t xml:space="preserve"> </w:t>
      </w:r>
      <w:r w:rsidR="008970D8" w:rsidRPr="00BD591E">
        <w:t xml:space="preserve">For example, </w:t>
      </w:r>
      <w:r w:rsidR="008935F1">
        <w:t>if</w:t>
      </w:r>
      <w:r w:rsidR="008935F1" w:rsidRPr="00BD591E">
        <w:t xml:space="preserve"> </w:t>
      </w:r>
      <w:r w:rsidR="00EC2F50" w:rsidRPr="00BD591E">
        <w:t xml:space="preserve">the </w:t>
      </w:r>
      <w:r w:rsidR="008970D8" w:rsidRPr="00BD591E">
        <w:t xml:space="preserve">elasticity </w:t>
      </w:r>
      <w:r w:rsidR="002C3112" w:rsidRPr="00BD591E">
        <w:t xml:space="preserve">for a USPTO service </w:t>
      </w:r>
      <w:r w:rsidR="008970D8" w:rsidRPr="00BD591E">
        <w:t>is -0.5</w:t>
      </w:r>
      <w:r w:rsidR="00EC2F50" w:rsidRPr="00BD591E">
        <w:t xml:space="preserve"> (inelastic)</w:t>
      </w:r>
      <w:r w:rsidR="008970D8" w:rsidRPr="00BD591E">
        <w:t>, then a 10</w:t>
      </w:r>
      <w:r w:rsidR="0009544C">
        <w:t xml:space="preserve"> percent</w:t>
      </w:r>
      <w:r w:rsidR="008970D8" w:rsidRPr="00BD591E">
        <w:t xml:space="preserve"> increase in </w:t>
      </w:r>
      <w:r w:rsidR="008970D8" w:rsidRPr="00BD591E">
        <w:lastRenderedPageBreak/>
        <w:t xml:space="preserve">fees </w:t>
      </w:r>
      <w:r w:rsidR="002C3112" w:rsidRPr="00BD591E">
        <w:t xml:space="preserve">for that service will </w:t>
      </w:r>
      <w:r w:rsidR="008970D8" w:rsidRPr="00BD591E">
        <w:t>lead to a 5</w:t>
      </w:r>
      <w:r w:rsidR="0009544C">
        <w:t xml:space="preserve"> percent</w:t>
      </w:r>
      <w:r w:rsidR="008970D8" w:rsidRPr="00BD591E">
        <w:t xml:space="preserve"> decrease in quantity. </w:t>
      </w:r>
      <w:r w:rsidR="004D386D">
        <w:t>Because</w:t>
      </w:r>
      <w:r w:rsidR="004D386D" w:rsidRPr="00BD591E">
        <w:t xml:space="preserve"> </w:t>
      </w:r>
      <w:r w:rsidR="008970D8" w:rsidRPr="00BD591E">
        <w:t xml:space="preserve">revenue is </w:t>
      </w:r>
      <w:r w:rsidR="002C3112" w:rsidRPr="00BD591E">
        <w:t xml:space="preserve">defined as the </w:t>
      </w:r>
      <w:r w:rsidR="008970D8" w:rsidRPr="00BD591E">
        <w:t>fee</w:t>
      </w:r>
      <w:r w:rsidR="00AB1184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B1184">
        <w:t>)</w:t>
      </w:r>
      <w:r w:rsidR="00AB1184" w:rsidRPr="00BD591E">
        <w:t xml:space="preserve"> </w:t>
      </w:r>
      <w:r w:rsidR="008970D8" w:rsidRPr="00BD591E">
        <w:t xml:space="preserve">multiplied by </w:t>
      </w:r>
      <w:r w:rsidR="002C3112" w:rsidRPr="00BD591E">
        <w:t xml:space="preserve">the </w:t>
      </w:r>
      <w:r w:rsidR="008970D8" w:rsidRPr="00BD591E">
        <w:t>quantity</w:t>
      </w:r>
      <w:r w:rsidR="00C45242" w:rsidRPr="00BD591E">
        <w:t xml:space="preserve"> </w:t>
      </w:r>
      <w:r w:rsidR="002C3112" w:rsidRPr="00BD591E">
        <w:t>of services demanded</w:t>
      </w:r>
      <w:r w:rsidR="00AB1184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B1184">
        <w:t>)</w:t>
      </w:r>
      <w:r w:rsidR="004D386D">
        <w:t>,</w:t>
      </w:r>
      <w:r w:rsidR="00AB1184" w:rsidRPr="00BD591E">
        <w:t xml:space="preserve"> </w:t>
      </w:r>
      <w:r w:rsidR="002C3112" w:rsidRPr="00BD591E">
        <w:t xml:space="preserve">total revenue </w:t>
      </w:r>
      <w:r w:rsidR="002C3112" w:rsidRPr="00BD591E">
        <w:rPr>
          <w:i/>
        </w:rPr>
        <w:t>before</w:t>
      </w:r>
      <w:r w:rsidR="002C3112" w:rsidRPr="00BD591E">
        <w:t xml:space="preserve"> the fee increase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112" w:rsidRPr="00BD591E">
        <w:t>. After the fee increase</w:t>
      </w:r>
      <w:r w:rsidR="003748B9">
        <w:t>,</w:t>
      </w:r>
      <w:r w:rsidR="002C3112" w:rsidRPr="00BD591E">
        <w:t xml:space="preserve"> the new revenue can be represented </w:t>
      </w:r>
      <w:r w:rsidR="00E13AC6" w:rsidRPr="00BD591E">
        <w:t>as</w:t>
      </w:r>
      <w:r w:rsidR="00E13AC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970D8" w:rsidRPr="00BD591E">
        <w:t>.</w:t>
      </w:r>
      <w:r w:rsidR="002C3112" w:rsidRPr="00BD591E">
        <w:t xml:space="preserve"> </w:t>
      </w:r>
      <w:r w:rsidR="0073251F" w:rsidRPr="00BD591E">
        <w:t>The following shows that revenue after the fee increase</w:t>
      </w:r>
      <w:r w:rsidR="009B4652">
        <w:t xml:space="preserve"> in our example</w:t>
      </w:r>
      <w:r w:rsidR="0073251F" w:rsidRPr="00BD591E">
        <w:t xml:space="preserve"> is greater than revenue before the fee increase</w:t>
      </w:r>
      <w:r w:rsidR="00AB1184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B1184">
        <w:t>)</w:t>
      </w:r>
      <w:r w:rsidR="009B4652">
        <w:t>:</w:t>
      </w:r>
    </w:p>
    <w:p w14:paraId="73755503" w14:textId="4DC733CA" w:rsidR="00C45242" w:rsidRPr="00BD591E" w:rsidRDefault="00FC16F5" w:rsidP="00C45242">
      <w:pPr>
        <w:pStyle w:val="BodyText"/>
        <w:spacing w:before="120" w:line="480" w:lineRule="auto"/>
        <w:ind w:right="13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1+10%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1-5%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1.1×0.95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1.045</m:t>
              </m:r>
            </m:e>
          </m:d>
        </m:oMath>
      </m:oMathPara>
    </w:p>
    <w:p w14:paraId="5B083FFD" w14:textId="4358FFF5" w:rsidR="009374D3" w:rsidRDefault="008970D8" w:rsidP="00D5004D">
      <w:pPr>
        <w:pStyle w:val="BodyText"/>
        <w:spacing w:before="120"/>
        <w:ind w:left="144" w:right="144"/>
      </w:pPr>
      <w:r w:rsidRPr="00BD591E">
        <w:t>That is, at an elasticity of -0.5, a 10</w:t>
      </w:r>
      <w:r w:rsidR="0009544C">
        <w:t xml:space="preserve"> percent</w:t>
      </w:r>
      <w:r w:rsidRPr="00BD591E">
        <w:t xml:space="preserve"> fee increase leads to a</w:t>
      </w:r>
      <w:r w:rsidR="00EC2F50" w:rsidRPr="00BD591E">
        <w:t xml:space="preserve">n increase in revenue of </w:t>
      </w:r>
      <w:r w:rsidRPr="00BD591E">
        <w:t>4.5</w:t>
      </w:r>
      <w:r w:rsidR="0009544C">
        <w:t xml:space="preserve"> percent</w:t>
      </w:r>
      <w:r w:rsidRPr="00BD591E">
        <w:t>.</w:t>
      </w:r>
    </w:p>
    <w:p w14:paraId="1A0EBAC7" w14:textId="236D8757" w:rsidR="00A37AFB" w:rsidRDefault="00A37AFB" w:rsidP="00D5004D">
      <w:pPr>
        <w:pStyle w:val="BodyText"/>
        <w:spacing w:before="120"/>
        <w:ind w:left="144" w:right="144"/>
      </w:pPr>
    </w:p>
    <w:p w14:paraId="65C67D85" w14:textId="51F2A7AC" w:rsidR="00295DDB" w:rsidRDefault="00850325" w:rsidP="00D5004D">
      <w:pPr>
        <w:pStyle w:val="BodyText"/>
        <w:spacing w:before="120" w:line="480" w:lineRule="auto"/>
        <w:ind w:left="144" w:right="144"/>
      </w:pPr>
      <w:r>
        <w:t>To demonstrate</w:t>
      </w:r>
      <w:r w:rsidR="00295DDB">
        <w:t>, take</w:t>
      </w:r>
      <w:r w:rsidR="00A37AFB">
        <w:t xml:space="preserve"> the case </w:t>
      </w:r>
      <w:r w:rsidR="008935F1">
        <w:t xml:space="preserve">in which </w:t>
      </w:r>
      <w:r w:rsidR="00295DDB">
        <w:t xml:space="preserve">a fee </w:t>
      </w:r>
      <w:r w:rsidR="00DA60D5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A60D5">
        <w:t>)</w:t>
      </w:r>
      <w:r w:rsidR="00295DDB">
        <w:t xml:space="preserve"> is initially $100 but increases to $110 </w:t>
      </w:r>
      <w:r w:rsidR="00DA60D5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60D5">
        <w:t>)</w:t>
      </w:r>
      <w:r w:rsidR="00295DDB">
        <w:t xml:space="preserve"> and the elasticity of demand remains -0.5 for </w:t>
      </w:r>
      <w:r>
        <w:t>that</w:t>
      </w:r>
      <w:r w:rsidR="00295DDB">
        <w:t xml:space="preserve"> particular service. Also assume that the increase in the fee causes the quantity demanded for this service to fall from 100 </w:t>
      </w:r>
      <w:r w:rsidR="003748B9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48B9">
        <w:t>)</w:t>
      </w:r>
      <w:r w:rsidR="00295DDB">
        <w:t xml:space="preserve"> to 95</w:t>
      </w:r>
      <w:r w:rsidR="00DA60D5">
        <w:t xml:space="preserve"> </w:t>
      </w:r>
      <w:r w:rsidR="003748B9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60D5">
        <w:t>)</w:t>
      </w:r>
      <w:r w:rsidR="00295DDB">
        <w:t>. In this scenario, revenue has increased from $10,000 to $10,450 after the 10</w:t>
      </w:r>
      <w:r w:rsidR="0009544C">
        <w:t xml:space="preserve"> percent</w:t>
      </w:r>
      <w:r w:rsidR="00295DDB">
        <w:t xml:space="preserve"> increase in the fee rate despite the 5</w:t>
      </w:r>
      <w:r w:rsidR="0009544C">
        <w:t xml:space="preserve"> percent</w:t>
      </w:r>
      <w:r w:rsidR="00295DDB">
        <w:t xml:space="preserve"> decrease in the quantity demanded as shown below:</w:t>
      </w:r>
    </w:p>
    <w:p w14:paraId="28BEDBA4" w14:textId="2A0F5C23" w:rsidR="00C45242" w:rsidRPr="000B6F0B" w:rsidRDefault="00FC16F5" w:rsidP="00EB6977">
      <w:pPr>
        <w:pStyle w:val="BodyText"/>
        <w:spacing w:before="120"/>
        <w:ind w:right="144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1+10%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1-5%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1.1×0.95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1.045</m:t>
              </m:r>
            </m:e>
          </m:d>
        </m:oMath>
      </m:oMathPara>
    </w:p>
    <w:p w14:paraId="2A4E6F33" w14:textId="77777777" w:rsidR="000B6F0B" w:rsidRPr="00C45242" w:rsidRDefault="000B6F0B" w:rsidP="00EB6977">
      <w:pPr>
        <w:pStyle w:val="BodyText"/>
        <w:spacing w:before="120"/>
        <w:ind w:right="144"/>
        <w:jc w:val="both"/>
        <w:rPr>
          <w:sz w:val="16"/>
        </w:rPr>
      </w:pPr>
    </w:p>
    <w:p w14:paraId="668BAB3E" w14:textId="73F0D451" w:rsidR="009374D3" w:rsidRDefault="008970D8" w:rsidP="00C37B07">
      <w:pPr>
        <w:pStyle w:val="Heading1"/>
        <w:numPr>
          <w:ilvl w:val="0"/>
          <w:numId w:val="4"/>
        </w:numPr>
        <w:spacing w:before="120"/>
        <w:ind w:right="144"/>
      </w:pPr>
      <w:r>
        <w:t xml:space="preserve">Elasticity </w:t>
      </w:r>
      <w:r w:rsidR="00C37B07">
        <w:t xml:space="preserve">Findings for the </w:t>
      </w:r>
      <w:r w:rsidR="00211518">
        <w:t>Nine</w:t>
      </w:r>
      <w:r w:rsidR="00C37B07">
        <w:t xml:space="preserve"> Fee Categories</w:t>
      </w:r>
    </w:p>
    <w:p w14:paraId="75570B10" w14:textId="77777777" w:rsidR="009374D3" w:rsidRDefault="009374D3" w:rsidP="00D5004D">
      <w:pPr>
        <w:pStyle w:val="BodyText"/>
        <w:spacing w:before="120"/>
        <w:ind w:left="144" w:right="144"/>
        <w:rPr>
          <w:b/>
          <w:sz w:val="21"/>
        </w:rPr>
      </w:pPr>
    </w:p>
    <w:p w14:paraId="7CBBC72F" w14:textId="436DEBD7" w:rsidR="00263F8C" w:rsidRDefault="00C37B07" w:rsidP="00D5004D">
      <w:pPr>
        <w:pStyle w:val="BodyText"/>
        <w:spacing w:before="120" w:line="480" w:lineRule="auto"/>
        <w:ind w:left="144" w:right="144" w:firstLine="576"/>
      </w:pPr>
      <w:r w:rsidRPr="00BD591E">
        <w:t xml:space="preserve">Table 1 presents the elasticity estimates for </w:t>
      </w:r>
      <w:r w:rsidR="00516035">
        <w:t>nine</w:t>
      </w:r>
      <w:r w:rsidRPr="00BD591E">
        <w:t xml:space="preserve"> USPTO fee categories as well as the 95</w:t>
      </w:r>
      <w:r w:rsidR="0009544C">
        <w:t xml:space="preserve"> percent</w:t>
      </w:r>
      <w:r w:rsidRPr="00BD591E">
        <w:t xml:space="preserve"> confidence intervals </w:t>
      </w:r>
      <w:r w:rsidR="008F6ECC" w:rsidRPr="00BD591E">
        <w:t xml:space="preserve">associated with </w:t>
      </w:r>
      <w:r w:rsidRPr="00BD591E">
        <w:t xml:space="preserve">the point estimates. </w:t>
      </w:r>
      <w:r w:rsidR="00A21752">
        <w:t>For all</w:t>
      </w:r>
      <w:r w:rsidR="008F6ECC" w:rsidRPr="00BD591E">
        <w:t xml:space="preserve"> point estimates and confidence intervals</w:t>
      </w:r>
      <w:r w:rsidR="00A21752">
        <w:t xml:space="preserve">, </w:t>
      </w:r>
      <w:r w:rsidR="008F6ECC" w:rsidRPr="00BD591E">
        <w:t xml:space="preserve">the </w:t>
      </w:r>
      <w:r w:rsidR="00263F8C" w:rsidRPr="00BD591E">
        <w:t xml:space="preserve">USPTO </w:t>
      </w:r>
      <w:r w:rsidR="008F6ECC" w:rsidRPr="00BD591E">
        <w:t>fee categories are inelastic</w:t>
      </w:r>
      <w:r w:rsidR="002D586C" w:rsidRPr="00BD591E">
        <w:t xml:space="preserve"> (</w:t>
      </w:r>
      <m:oMath>
        <m:r>
          <w:rPr>
            <w:rFonts w:ascii="Cambria Math" w:hAnsi="Cambria Math"/>
          </w:rPr>
          <m:t>-1&lt;ϵ&lt;0</m:t>
        </m:r>
      </m:oMath>
      <w:r w:rsidR="002D586C" w:rsidRPr="00BD591E">
        <w:t>)</w:t>
      </w:r>
      <w:r w:rsidR="008F6ECC" w:rsidRPr="00BD591E">
        <w:t xml:space="preserve">. </w:t>
      </w:r>
    </w:p>
    <w:p w14:paraId="06909F46" w14:textId="77777777" w:rsidR="00BD591E" w:rsidRPr="00BD591E" w:rsidRDefault="00BD591E" w:rsidP="00F0720E">
      <w:pPr>
        <w:pStyle w:val="BodyText"/>
        <w:spacing w:before="120" w:line="480" w:lineRule="auto"/>
        <w:ind w:left="144" w:right="144"/>
        <w:jc w:val="both"/>
      </w:pPr>
    </w:p>
    <w:p w14:paraId="36A3947F" w14:textId="537EA594" w:rsidR="001B1B4B" w:rsidRDefault="001B1B4B" w:rsidP="00F0720E">
      <w:pPr>
        <w:pStyle w:val="Heading1"/>
        <w:spacing w:before="120"/>
        <w:ind w:left="144" w:right="144"/>
      </w:pPr>
      <w:r>
        <w:t xml:space="preserve">Table 1: </w:t>
      </w:r>
      <w:r w:rsidR="002D586C">
        <w:t xml:space="preserve">USPTO </w:t>
      </w:r>
      <w:r>
        <w:t>Fee Elasticity Estimates</w:t>
      </w:r>
    </w:p>
    <w:p w14:paraId="654E3C3F" w14:textId="77777777" w:rsidR="001B1B4B" w:rsidRPr="001B1B4B" w:rsidRDefault="001B1B4B" w:rsidP="001B1B4B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USPTO Fee Elasticity Estimates"/>
      </w:tblPr>
      <w:tblGrid>
        <w:gridCol w:w="3150"/>
        <w:gridCol w:w="1710"/>
        <w:gridCol w:w="1530"/>
        <w:gridCol w:w="1350"/>
        <w:gridCol w:w="1620"/>
      </w:tblGrid>
      <w:tr w:rsidR="001B1B4B" w:rsidRPr="001B1B4B" w14:paraId="4062EEBB" w14:textId="77777777" w:rsidTr="00F6636C">
        <w:trPr>
          <w:tblHeader/>
        </w:trPr>
        <w:tc>
          <w:tcPr>
            <w:tcW w:w="6390" w:type="dxa"/>
            <w:gridSpan w:val="3"/>
          </w:tcPr>
          <w:p w14:paraId="056A21D2" w14:textId="77777777" w:rsidR="001B1B4B" w:rsidRPr="001B1B4B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</w:rPr>
            </w:pPr>
          </w:p>
        </w:tc>
        <w:tc>
          <w:tcPr>
            <w:tcW w:w="2970" w:type="dxa"/>
            <w:gridSpan w:val="2"/>
          </w:tcPr>
          <w:p w14:paraId="53A01C1A" w14:textId="2754A8E6" w:rsidR="001B1B4B" w:rsidRPr="00CF6172" w:rsidRDefault="001B1B4B" w:rsidP="00192447">
            <w:pPr>
              <w:pStyle w:val="Heading1"/>
              <w:widowControl w:val="0"/>
              <w:autoSpaceDE w:val="0"/>
              <w:autoSpaceDN w:val="0"/>
              <w:outlineLvl w:val="0"/>
            </w:pPr>
            <w:r w:rsidRPr="00CF6172">
              <w:t>95% Confidence Interval</w:t>
            </w:r>
          </w:p>
        </w:tc>
      </w:tr>
      <w:tr w:rsidR="001B1B4B" w:rsidRPr="001B1B4B" w14:paraId="5B4ED97A" w14:textId="77777777" w:rsidTr="00F6636C">
        <w:trPr>
          <w:tblHeader/>
        </w:trPr>
        <w:tc>
          <w:tcPr>
            <w:tcW w:w="3150" w:type="dxa"/>
            <w:vAlign w:val="center"/>
          </w:tcPr>
          <w:p w14:paraId="2E6D5B3E" w14:textId="77777777" w:rsidR="001B1B4B" w:rsidRPr="00CF6172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</w:pPr>
            <w:r w:rsidRPr="00CF6172">
              <w:t>Fee Elasticity Category</w:t>
            </w:r>
          </w:p>
        </w:tc>
        <w:tc>
          <w:tcPr>
            <w:tcW w:w="1710" w:type="dxa"/>
            <w:vAlign w:val="center"/>
          </w:tcPr>
          <w:p w14:paraId="34523529" w14:textId="60E0F3AB" w:rsidR="001B1B4B" w:rsidRPr="00CF6172" w:rsidRDefault="00CF6172" w:rsidP="000B6F8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F6172">
              <w:rPr>
                <w:b/>
              </w:rPr>
              <w:t>Entity Size (</w:t>
            </w:r>
            <w:r w:rsidR="000231B0">
              <w:rPr>
                <w:b/>
              </w:rPr>
              <w:t>L</w:t>
            </w:r>
            <w:r w:rsidRPr="00CF6172">
              <w:rPr>
                <w:b/>
              </w:rPr>
              <w:t>arge</w:t>
            </w:r>
            <w:r w:rsidR="001B1B4B" w:rsidRPr="00CF6172">
              <w:rPr>
                <w:b/>
                <w:bCs/>
                <w:sz w:val="24"/>
                <w:szCs w:val="24"/>
              </w:rPr>
              <w:t>/Small)</w:t>
            </w:r>
          </w:p>
        </w:tc>
        <w:tc>
          <w:tcPr>
            <w:tcW w:w="1530" w:type="dxa"/>
            <w:vAlign w:val="center"/>
          </w:tcPr>
          <w:p w14:paraId="50CE455A" w14:textId="1F107013" w:rsidR="001B1B4B" w:rsidRPr="00CF6172" w:rsidRDefault="00CF6172" w:rsidP="000B6F8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F6172">
              <w:rPr>
                <w:b/>
              </w:rPr>
              <w:t>Elasticity</w:t>
            </w:r>
            <w:r w:rsidR="00494CAE">
              <w:rPr>
                <w:b/>
              </w:rPr>
              <w:t xml:space="preserve"> </w:t>
            </w:r>
            <w:r w:rsidR="001B1B4B" w:rsidRPr="00CF6172">
              <w:rPr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350" w:type="dxa"/>
            <w:vAlign w:val="center"/>
          </w:tcPr>
          <w:p w14:paraId="14477746" w14:textId="77777777" w:rsidR="001B1B4B" w:rsidRPr="00CF6172" w:rsidRDefault="001B1B4B" w:rsidP="000B6F8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F6172">
              <w:rPr>
                <w:b/>
                <w:bCs/>
                <w:sz w:val="24"/>
                <w:szCs w:val="24"/>
              </w:rPr>
              <w:t>Lower Bound</w:t>
            </w:r>
          </w:p>
        </w:tc>
        <w:tc>
          <w:tcPr>
            <w:tcW w:w="1620" w:type="dxa"/>
            <w:vAlign w:val="center"/>
          </w:tcPr>
          <w:p w14:paraId="14B76949" w14:textId="77777777" w:rsidR="001B1B4B" w:rsidRPr="00CF6172" w:rsidRDefault="001B1B4B" w:rsidP="000B6F8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F6172">
              <w:rPr>
                <w:b/>
                <w:bCs/>
                <w:sz w:val="24"/>
                <w:szCs w:val="24"/>
              </w:rPr>
              <w:t>Upper Bound</w:t>
            </w:r>
          </w:p>
        </w:tc>
      </w:tr>
      <w:tr w:rsidR="001B1B4B" w:rsidRPr="001B1B4B" w14:paraId="03704B56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7AFA13DB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Filing/Search/Examination</w:t>
            </w:r>
          </w:p>
        </w:tc>
        <w:tc>
          <w:tcPr>
            <w:tcW w:w="1710" w:type="dxa"/>
            <w:vAlign w:val="center"/>
          </w:tcPr>
          <w:p w14:paraId="66D8A008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1F804D44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-0.16</w:t>
            </w:r>
          </w:p>
        </w:tc>
        <w:tc>
          <w:tcPr>
            <w:tcW w:w="1350" w:type="dxa"/>
            <w:vAlign w:val="center"/>
          </w:tcPr>
          <w:p w14:paraId="1820F4EF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-0.27</w:t>
            </w:r>
          </w:p>
        </w:tc>
        <w:tc>
          <w:tcPr>
            <w:tcW w:w="1620" w:type="dxa"/>
            <w:vAlign w:val="center"/>
          </w:tcPr>
          <w:p w14:paraId="43613663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-0.06</w:t>
            </w:r>
          </w:p>
        </w:tc>
      </w:tr>
      <w:tr w:rsidR="001B1B4B" w:rsidRPr="001B1B4B" w14:paraId="775B4AA6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606CDC8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E111339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001B59F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350" w:type="dxa"/>
            <w:vAlign w:val="center"/>
          </w:tcPr>
          <w:p w14:paraId="3455F2B4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620" w:type="dxa"/>
            <w:vAlign w:val="center"/>
          </w:tcPr>
          <w:p w14:paraId="604CA4CE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</w:tr>
      <w:tr w:rsidR="001B1B4B" w:rsidRPr="001B1B4B" w14:paraId="3F5E8836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44BBE04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lastRenderedPageBreak/>
              <w:t>Excess Independent Claim Fees</w:t>
            </w:r>
          </w:p>
        </w:tc>
        <w:tc>
          <w:tcPr>
            <w:tcW w:w="1710" w:type="dxa"/>
            <w:vAlign w:val="center"/>
          </w:tcPr>
          <w:p w14:paraId="68C54EBB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vAlign w:val="center"/>
          </w:tcPr>
          <w:p w14:paraId="746A4D5F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-0.62</w:t>
            </w:r>
          </w:p>
        </w:tc>
        <w:tc>
          <w:tcPr>
            <w:tcW w:w="1350" w:type="dxa"/>
            <w:vAlign w:val="center"/>
          </w:tcPr>
          <w:p w14:paraId="2D2735DE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-0.79</w:t>
            </w:r>
          </w:p>
        </w:tc>
        <w:tc>
          <w:tcPr>
            <w:tcW w:w="1620" w:type="dxa"/>
            <w:vAlign w:val="center"/>
          </w:tcPr>
          <w:p w14:paraId="544A3EF8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-0.44</w:t>
            </w:r>
          </w:p>
        </w:tc>
      </w:tr>
      <w:tr w:rsidR="001B1B4B" w:rsidRPr="001B1B4B" w14:paraId="3A6E6D1C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289C4A79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Excess Total Claim Fees</w:t>
            </w:r>
          </w:p>
        </w:tc>
        <w:tc>
          <w:tcPr>
            <w:tcW w:w="1710" w:type="dxa"/>
            <w:vAlign w:val="center"/>
          </w:tcPr>
          <w:p w14:paraId="0EE1C90B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vAlign w:val="center"/>
          </w:tcPr>
          <w:p w14:paraId="06EA709C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-0.23</w:t>
            </w:r>
          </w:p>
        </w:tc>
        <w:tc>
          <w:tcPr>
            <w:tcW w:w="1350" w:type="dxa"/>
            <w:vAlign w:val="center"/>
          </w:tcPr>
          <w:p w14:paraId="6AEEBA54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-0.35</w:t>
            </w:r>
          </w:p>
        </w:tc>
        <w:tc>
          <w:tcPr>
            <w:tcW w:w="1620" w:type="dxa"/>
            <w:vAlign w:val="center"/>
          </w:tcPr>
          <w:p w14:paraId="636F286B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-0.11</w:t>
            </w:r>
          </w:p>
        </w:tc>
      </w:tr>
      <w:tr w:rsidR="001B1B4B" w:rsidRPr="001B1B4B" w14:paraId="727558F5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395C95A7" w14:textId="2215D694" w:rsidR="001B1B4B" w:rsidRPr="00BD591E" w:rsidRDefault="00055041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Application Size (</w:t>
            </w:r>
            <w:r w:rsidR="001B1B4B" w:rsidRPr="00BD591E">
              <w:rPr>
                <w:b w:val="0"/>
                <w:sz w:val="22"/>
                <w:szCs w:val="22"/>
              </w:rPr>
              <w:t>Excess Page</w:t>
            </w:r>
            <w:r>
              <w:rPr>
                <w:b w:val="0"/>
                <w:sz w:val="22"/>
                <w:szCs w:val="22"/>
              </w:rPr>
              <w:t>)</w:t>
            </w:r>
            <w:r w:rsidR="001B1B4B" w:rsidRPr="00BD591E">
              <w:rPr>
                <w:b w:val="0"/>
                <w:sz w:val="22"/>
                <w:szCs w:val="22"/>
              </w:rPr>
              <w:t xml:space="preserve"> Fees</w:t>
            </w:r>
          </w:p>
        </w:tc>
        <w:tc>
          <w:tcPr>
            <w:tcW w:w="1710" w:type="dxa"/>
            <w:vAlign w:val="center"/>
          </w:tcPr>
          <w:p w14:paraId="2FE5F046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vAlign w:val="center"/>
          </w:tcPr>
          <w:p w14:paraId="233F87A5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-0.54</w:t>
            </w:r>
          </w:p>
        </w:tc>
        <w:tc>
          <w:tcPr>
            <w:tcW w:w="1350" w:type="dxa"/>
            <w:vAlign w:val="center"/>
          </w:tcPr>
          <w:p w14:paraId="57439317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-0.95</w:t>
            </w:r>
          </w:p>
        </w:tc>
        <w:tc>
          <w:tcPr>
            <w:tcW w:w="1620" w:type="dxa"/>
            <w:vAlign w:val="center"/>
          </w:tcPr>
          <w:p w14:paraId="566EC48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-0.14</w:t>
            </w:r>
          </w:p>
        </w:tc>
      </w:tr>
      <w:tr w:rsidR="001B1B4B" w:rsidRPr="001B1B4B" w14:paraId="516EF8FC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711022C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Issue Fees</w:t>
            </w:r>
          </w:p>
        </w:tc>
        <w:tc>
          <w:tcPr>
            <w:tcW w:w="1710" w:type="dxa"/>
            <w:vAlign w:val="center"/>
          </w:tcPr>
          <w:p w14:paraId="328D061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vAlign w:val="center"/>
          </w:tcPr>
          <w:p w14:paraId="672E5081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-0.006</w:t>
            </w:r>
          </w:p>
        </w:tc>
        <w:tc>
          <w:tcPr>
            <w:tcW w:w="1350" w:type="dxa"/>
            <w:vAlign w:val="center"/>
          </w:tcPr>
          <w:p w14:paraId="76D343A5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-0.01</w:t>
            </w:r>
          </w:p>
        </w:tc>
        <w:tc>
          <w:tcPr>
            <w:tcW w:w="1620" w:type="dxa"/>
            <w:vAlign w:val="center"/>
          </w:tcPr>
          <w:p w14:paraId="21D70887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-0.001</w:t>
            </w:r>
          </w:p>
        </w:tc>
      </w:tr>
      <w:tr w:rsidR="001B1B4B" w:rsidRPr="001B1B4B" w14:paraId="46573228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2952C280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RCE Fees</w:t>
            </w:r>
          </w:p>
        </w:tc>
        <w:tc>
          <w:tcPr>
            <w:tcW w:w="1710" w:type="dxa"/>
            <w:vAlign w:val="center"/>
          </w:tcPr>
          <w:p w14:paraId="66FC7201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7DAE7178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-0.08</w:t>
            </w:r>
          </w:p>
        </w:tc>
        <w:tc>
          <w:tcPr>
            <w:tcW w:w="1350" w:type="dxa"/>
            <w:vAlign w:val="center"/>
          </w:tcPr>
          <w:p w14:paraId="2843F205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-0.11</w:t>
            </w:r>
          </w:p>
        </w:tc>
        <w:tc>
          <w:tcPr>
            <w:tcW w:w="1620" w:type="dxa"/>
            <w:vAlign w:val="center"/>
          </w:tcPr>
          <w:p w14:paraId="51A8732C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-0.04</w:t>
            </w:r>
          </w:p>
        </w:tc>
      </w:tr>
      <w:tr w:rsidR="001B1B4B" w:rsidRPr="001B1B4B" w14:paraId="47F0F6D8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1A2BF3D6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3362146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6EA74DAC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350" w:type="dxa"/>
            <w:vAlign w:val="center"/>
          </w:tcPr>
          <w:p w14:paraId="235BB81F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620" w:type="dxa"/>
            <w:vAlign w:val="center"/>
          </w:tcPr>
          <w:p w14:paraId="10B341D3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</w:tr>
      <w:tr w:rsidR="001B1B4B" w:rsidRPr="001B1B4B" w14:paraId="40975EAF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23AA958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Appeal Fees</w:t>
            </w:r>
          </w:p>
        </w:tc>
        <w:tc>
          <w:tcPr>
            <w:tcW w:w="1710" w:type="dxa"/>
            <w:vAlign w:val="center"/>
          </w:tcPr>
          <w:p w14:paraId="1F7F4586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709AF421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-0.15</w:t>
            </w:r>
          </w:p>
        </w:tc>
        <w:tc>
          <w:tcPr>
            <w:tcW w:w="1350" w:type="dxa"/>
            <w:vAlign w:val="center"/>
          </w:tcPr>
          <w:p w14:paraId="03948DA7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-0.27</w:t>
            </w:r>
          </w:p>
        </w:tc>
        <w:tc>
          <w:tcPr>
            <w:tcW w:w="1620" w:type="dxa"/>
            <w:vAlign w:val="center"/>
          </w:tcPr>
          <w:p w14:paraId="750AF64A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-0.04</w:t>
            </w:r>
          </w:p>
        </w:tc>
      </w:tr>
      <w:tr w:rsidR="001B1B4B" w:rsidRPr="001B1B4B" w14:paraId="24F0E937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A182556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B5D0BD6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1B9C0868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-0.33</w:t>
            </w:r>
          </w:p>
        </w:tc>
        <w:tc>
          <w:tcPr>
            <w:tcW w:w="1350" w:type="dxa"/>
            <w:vAlign w:val="center"/>
          </w:tcPr>
          <w:p w14:paraId="4BFB3454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-0.52</w:t>
            </w:r>
          </w:p>
        </w:tc>
        <w:tc>
          <w:tcPr>
            <w:tcW w:w="1620" w:type="dxa"/>
            <w:vAlign w:val="center"/>
          </w:tcPr>
          <w:p w14:paraId="7F135D58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-0.13</w:t>
            </w:r>
          </w:p>
        </w:tc>
      </w:tr>
      <w:tr w:rsidR="001B1B4B" w:rsidRPr="001B1B4B" w14:paraId="3E33C275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492F9A5A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AIA Trial Fees</w:t>
            </w:r>
          </w:p>
        </w:tc>
        <w:tc>
          <w:tcPr>
            <w:tcW w:w="1710" w:type="dxa"/>
            <w:vAlign w:val="center"/>
          </w:tcPr>
          <w:p w14:paraId="42415173" w14:textId="40DE8099" w:rsidR="001B1B4B" w:rsidRPr="00BD591E" w:rsidRDefault="003B02E6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vAlign w:val="center"/>
          </w:tcPr>
          <w:p w14:paraId="5EDE920D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-0.15</w:t>
            </w:r>
          </w:p>
        </w:tc>
        <w:tc>
          <w:tcPr>
            <w:tcW w:w="1350" w:type="dxa"/>
            <w:vAlign w:val="center"/>
          </w:tcPr>
          <w:p w14:paraId="1B95DE6F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-0.25</w:t>
            </w:r>
          </w:p>
        </w:tc>
        <w:tc>
          <w:tcPr>
            <w:tcW w:w="1620" w:type="dxa"/>
            <w:vAlign w:val="center"/>
          </w:tcPr>
          <w:p w14:paraId="5F82F667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-0.06</w:t>
            </w:r>
          </w:p>
        </w:tc>
      </w:tr>
      <w:tr w:rsidR="001B1B4B" w:rsidRPr="001B1B4B" w14:paraId="2DEC1918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70476E9" w14:textId="7A0BDCF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1</w:t>
            </w:r>
            <w:r w:rsidRPr="0099688E">
              <w:rPr>
                <w:b w:val="0"/>
                <w:sz w:val="22"/>
                <w:szCs w:val="22"/>
              </w:rPr>
              <w:t>st</w:t>
            </w:r>
            <w:r w:rsidRPr="00BD591E">
              <w:rPr>
                <w:b w:val="0"/>
                <w:sz w:val="22"/>
                <w:szCs w:val="22"/>
              </w:rPr>
              <w:t xml:space="preserve"> </w:t>
            </w:r>
            <w:r w:rsidR="000B5925">
              <w:rPr>
                <w:b w:val="0"/>
                <w:sz w:val="22"/>
                <w:szCs w:val="22"/>
              </w:rPr>
              <w:t xml:space="preserve">Stage </w:t>
            </w:r>
            <w:r w:rsidRPr="00BD591E">
              <w:rPr>
                <w:b w:val="0"/>
                <w:sz w:val="22"/>
                <w:szCs w:val="22"/>
              </w:rPr>
              <w:t>Maintenance Fee</w:t>
            </w:r>
          </w:p>
        </w:tc>
        <w:tc>
          <w:tcPr>
            <w:tcW w:w="1710" w:type="dxa"/>
            <w:vAlign w:val="center"/>
          </w:tcPr>
          <w:p w14:paraId="51527D8B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64A72079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-0.06</w:t>
            </w:r>
          </w:p>
        </w:tc>
        <w:tc>
          <w:tcPr>
            <w:tcW w:w="1350" w:type="dxa"/>
            <w:vAlign w:val="center"/>
          </w:tcPr>
          <w:p w14:paraId="7A95C022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-0.07</w:t>
            </w:r>
          </w:p>
        </w:tc>
        <w:tc>
          <w:tcPr>
            <w:tcW w:w="1620" w:type="dxa"/>
            <w:vAlign w:val="center"/>
          </w:tcPr>
          <w:p w14:paraId="5DF8D40F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-0.05</w:t>
            </w:r>
          </w:p>
        </w:tc>
      </w:tr>
      <w:tr w:rsidR="001B1B4B" w:rsidRPr="001B1B4B" w14:paraId="4295FBD3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558B78CC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2A60419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15F812B2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350" w:type="dxa"/>
            <w:vAlign w:val="center"/>
          </w:tcPr>
          <w:p w14:paraId="68F1E172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620" w:type="dxa"/>
            <w:vAlign w:val="center"/>
          </w:tcPr>
          <w:p w14:paraId="2262C7C1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</w:tr>
      <w:tr w:rsidR="001B1B4B" w:rsidRPr="001B1B4B" w14:paraId="44294484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0EEA96C9" w14:textId="1E7728C2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2</w:t>
            </w:r>
            <w:r w:rsidRPr="0099688E">
              <w:rPr>
                <w:b w:val="0"/>
                <w:sz w:val="22"/>
                <w:szCs w:val="22"/>
              </w:rPr>
              <w:t>nd</w:t>
            </w:r>
            <w:r w:rsidRPr="00BD591E">
              <w:rPr>
                <w:b w:val="0"/>
                <w:sz w:val="22"/>
                <w:szCs w:val="22"/>
              </w:rPr>
              <w:t xml:space="preserve"> </w:t>
            </w:r>
            <w:r w:rsidR="000B5925">
              <w:rPr>
                <w:b w:val="0"/>
                <w:sz w:val="22"/>
                <w:szCs w:val="22"/>
              </w:rPr>
              <w:t xml:space="preserve">Stage </w:t>
            </w:r>
            <w:r w:rsidRPr="00BD591E">
              <w:rPr>
                <w:b w:val="0"/>
                <w:sz w:val="22"/>
                <w:szCs w:val="22"/>
              </w:rPr>
              <w:t>Maintenance Fee</w:t>
            </w:r>
          </w:p>
        </w:tc>
        <w:tc>
          <w:tcPr>
            <w:tcW w:w="1710" w:type="dxa"/>
            <w:vAlign w:val="center"/>
          </w:tcPr>
          <w:p w14:paraId="58A75B49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2765D73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-0.10</w:t>
            </w:r>
          </w:p>
        </w:tc>
        <w:tc>
          <w:tcPr>
            <w:tcW w:w="1350" w:type="dxa"/>
            <w:vAlign w:val="center"/>
          </w:tcPr>
          <w:p w14:paraId="08FD13D9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-0.13</w:t>
            </w:r>
          </w:p>
        </w:tc>
        <w:tc>
          <w:tcPr>
            <w:tcW w:w="1620" w:type="dxa"/>
            <w:vAlign w:val="center"/>
          </w:tcPr>
          <w:p w14:paraId="6FEF2347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-0.07</w:t>
            </w:r>
          </w:p>
        </w:tc>
      </w:tr>
      <w:tr w:rsidR="001B1B4B" w:rsidRPr="001B1B4B" w14:paraId="7AFA8FF0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7E36612E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73B0AC4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7F18A7CA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350" w:type="dxa"/>
            <w:vAlign w:val="center"/>
          </w:tcPr>
          <w:p w14:paraId="6FE9DF2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  <w:tc>
          <w:tcPr>
            <w:tcW w:w="1620" w:type="dxa"/>
            <w:vAlign w:val="center"/>
          </w:tcPr>
          <w:p w14:paraId="7A21BA72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No diff.</w:t>
            </w:r>
          </w:p>
        </w:tc>
      </w:tr>
      <w:tr w:rsidR="001B1B4B" w:rsidRPr="001B1B4B" w14:paraId="26934A1C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7970D302" w14:textId="169F3BCC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3</w:t>
            </w:r>
            <w:r w:rsidRPr="0099688E">
              <w:rPr>
                <w:b w:val="0"/>
                <w:sz w:val="22"/>
                <w:szCs w:val="22"/>
              </w:rPr>
              <w:t>rd</w:t>
            </w:r>
            <w:r w:rsidRPr="00BD591E">
              <w:rPr>
                <w:b w:val="0"/>
                <w:sz w:val="22"/>
                <w:szCs w:val="22"/>
              </w:rPr>
              <w:t xml:space="preserve"> </w:t>
            </w:r>
            <w:r w:rsidR="000B5925">
              <w:rPr>
                <w:b w:val="0"/>
                <w:sz w:val="22"/>
                <w:szCs w:val="22"/>
              </w:rPr>
              <w:t xml:space="preserve">Stage </w:t>
            </w:r>
            <w:r w:rsidRPr="00BD591E">
              <w:rPr>
                <w:b w:val="0"/>
                <w:sz w:val="22"/>
                <w:szCs w:val="22"/>
              </w:rPr>
              <w:t>Maintenance Fee</w:t>
            </w:r>
          </w:p>
        </w:tc>
        <w:tc>
          <w:tcPr>
            <w:tcW w:w="1710" w:type="dxa"/>
            <w:vAlign w:val="center"/>
          </w:tcPr>
          <w:p w14:paraId="785BF86C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Large</w:t>
            </w:r>
          </w:p>
        </w:tc>
        <w:tc>
          <w:tcPr>
            <w:tcW w:w="1530" w:type="dxa"/>
            <w:vAlign w:val="center"/>
          </w:tcPr>
          <w:p w14:paraId="7B563B72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-0.11</w:t>
            </w:r>
          </w:p>
        </w:tc>
        <w:tc>
          <w:tcPr>
            <w:tcW w:w="1350" w:type="dxa"/>
            <w:vAlign w:val="center"/>
          </w:tcPr>
          <w:p w14:paraId="36337A21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-0.12</w:t>
            </w:r>
          </w:p>
        </w:tc>
        <w:tc>
          <w:tcPr>
            <w:tcW w:w="1620" w:type="dxa"/>
            <w:vAlign w:val="center"/>
          </w:tcPr>
          <w:p w14:paraId="6FE10540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-0.09</w:t>
            </w:r>
          </w:p>
        </w:tc>
      </w:tr>
      <w:tr w:rsidR="001B1B4B" w:rsidRPr="001B1B4B" w14:paraId="48F162FA" w14:textId="77777777" w:rsidTr="00F6636C">
        <w:trPr>
          <w:trHeight w:val="288"/>
        </w:trPr>
        <w:tc>
          <w:tcPr>
            <w:tcW w:w="3150" w:type="dxa"/>
            <w:vAlign w:val="center"/>
          </w:tcPr>
          <w:p w14:paraId="7B8ED056" w14:textId="77777777" w:rsidR="001B1B4B" w:rsidRPr="00BD591E" w:rsidRDefault="001B1B4B" w:rsidP="001B1B4B">
            <w:pPr>
              <w:pStyle w:val="Heading1"/>
              <w:widowControl w:val="0"/>
              <w:autoSpaceDE w:val="0"/>
              <w:autoSpaceDN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0DB6DFA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Small</w:t>
            </w:r>
          </w:p>
        </w:tc>
        <w:tc>
          <w:tcPr>
            <w:tcW w:w="1530" w:type="dxa"/>
            <w:vAlign w:val="center"/>
          </w:tcPr>
          <w:p w14:paraId="6D16D7AD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-0.13</w:t>
            </w:r>
          </w:p>
        </w:tc>
        <w:tc>
          <w:tcPr>
            <w:tcW w:w="1350" w:type="dxa"/>
            <w:vAlign w:val="center"/>
          </w:tcPr>
          <w:p w14:paraId="205CE91B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-0.16</w:t>
            </w:r>
          </w:p>
        </w:tc>
        <w:tc>
          <w:tcPr>
            <w:tcW w:w="1620" w:type="dxa"/>
            <w:vAlign w:val="center"/>
          </w:tcPr>
          <w:p w14:paraId="276781F5" w14:textId="77777777" w:rsidR="001B1B4B" w:rsidRPr="00BD591E" w:rsidRDefault="001B1B4B" w:rsidP="000B6F81">
            <w:pPr>
              <w:pStyle w:val="Heading1"/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BD591E">
              <w:rPr>
                <w:b w:val="0"/>
                <w:sz w:val="22"/>
                <w:szCs w:val="22"/>
              </w:rPr>
              <w:t>-0.09</w:t>
            </w:r>
          </w:p>
        </w:tc>
      </w:tr>
    </w:tbl>
    <w:p w14:paraId="0FC24953" w14:textId="77AF494B" w:rsidR="001B1B4B" w:rsidRPr="001B1B4B" w:rsidRDefault="001B1B4B" w:rsidP="001B1B4B">
      <w:pPr>
        <w:pStyle w:val="Heading1"/>
        <w:rPr>
          <w:b w:val="0"/>
          <w:sz w:val="20"/>
        </w:rPr>
      </w:pPr>
      <w:r w:rsidRPr="001B1B4B">
        <w:rPr>
          <w:b w:val="0"/>
          <w:sz w:val="20"/>
        </w:rPr>
        <w:t>Note that all reported estimates are statistically significant at the 5</w:t>
      </w:r>
      <w:r w:rsidR="0009544C">
        <w:rPr>
          <w:b w:val="0"/>
          <w:sz w:val="20"/>
        </w:rPr>
        <w:t xml:space="preserve"> percent</w:t>
      </w:r>
      <w:r w:rsidRPr="001B1B4B">
        <w:rPr>
          <w:b w:val="0"/>
          <w:sz w:val="20"/>
        </w:rPr>
        <w:t xml:space="preserve"> level. Not applicable (n/a) means that differences in entity size were not modeled. No difference (No diff.) means that large and small entity fee elasticities do not show </w:t>
      </w:r>
      <w:r w:rsidR="0055637A">
        <w:rPr>
          <w:b w:val="0"/>
          <w:sz w:val="20"/>
        </w:rPr>
        <w:t xml:space="preserve">statistically </w:t>
      </w:r>
      <w:r w:rsidRPr="001B1B4B">
        <w:rPr>
          <w:b w:val="0"/>
          <w:sz w:val="20"/>
        </w:rPr>
        <w:t xml:space="preserve">significant differences. </w:t>
      </w:r>
    </w:p>
    <w:p w14:paraId="43B72D10" w14:textId="301E847D" w:rsidR="001B1B4B" w:rsidRPr="001B1B4B" w:rsidRDefault="001B1B4B" w:rsidP="00BB2FF8">
      <w:pPr>
        <w:pStyle w:val="Heading1"/>
        <w:rPr>
          <w:b w:val="0"/>
        </w:rPr>
      </w:pPr>
    </w:p>
    <w:p w14:paraId="38B9E827" w14:textId="25E143B0" w:rsidR="001B1B4B" w:rsidRPr="00A87A6D" w:rsidRDefault="00FC0E28" w:rsidP="00D5004D">
      <w:pPr>
        <w:pStyle w:val="BodyText"/>
        <w:spacing w:before="120" w:line="480" w:lineRule="auto"/>
        <w:ind w:left="144" w:right="144" w:firstLine="576"/>
      </w:pPr>
      <w:r w:rsidRPr="00263F8C">
        <w:t xml:space="preserve">Small entity </w:t>
      </w:r>
      <w:r>
        <w:t>stakeholders</w:t>
      </w:r>
      <w:r w:rsidRPr="00263F8C">
        <w:t xml:space="preserve"> do not react differently than large entity </w:t>
      </w:r>
      <w:r>
        <w:t>stakeholders</w:t>
      </w:r>
      <w:r w:rsidR="00FE13A6">
        <w:t>,</w:t>
      </w:r>
      <w:r>
        <w:t xml:space="preserve"> ex</w:t>
      </w:r>
      <w:r w:rsidRPr="00263F8C">
        <w:t>cept in two categories</w:t>
      </w:r>
      <w:r w:rsidR="009B4652">
        <w:t>:</w:t>
      </w:r>
      <w:r w:rsidR="009B4652" w:rsidRPr="00263F8C">
        <w:t xml:space="preserve"> </w:t>
      </w:r>
      <w:r w:rsidRPr="00263F8C">
        <w:t>appeals and 3</w:t>
      </w:r>
      <w:r w:rsidRPr="0099688E">
        <w:t>rd</w:t>
      </w:r>
      <w:r w:rsidRPr="00263F8C">
        <w:t xml:space="preserve"> </w:t>
      </w:r>
      <w:r w:rsidR="000B5925">
        <w:t xml:space="preserve">stage </w:t>
      </w:r>
      <w:r w:rsidRPr="00263F8C">
        <w:t>maintenance decisions. Small entit</w:t>
      </w:r>
      <w:r>
        <w:t>ies</w:t>
      </w:r>
      <w:r w:rsidRPr="00263F8C">
        <w:t xml:space="preserve"> are more sensitive to fee changes in these two categories, particularly with respect to appeals. </w:t>
      </w:r>
      <w:r w:rsidR="00B15CA8">
        <w:t>The elasticity estimates for excess independent claims, excess total claims</w:t>
      </w:r>
      <w:r w:rsidR="00850325">
        <w:t>,</w:t>
      </w:r>
      <w:r w:rsidR="00B15CA8">
        <w:t xml:space="preserve"> and </w:t>
      </w:r>
      <w:r w:rsidR="00055041">
        <w:t>application size (</w:t>
      </w:r>
      <w:r w:rsidR="00B15CA8">
        <w:t>excess pages</w:t>
      </w:r>
      <w:r w:rsidR="00055041">
        <w:t>)</w:t>
      </w:r>
      <w:r w:rsidR="00B15CA8">
        <w:t xml:space="preserve"> are noticeably larger in absolute value relative to fee</w:t>
      </w:r>
      <w:r w:rsidR="00C4757E">
        <w:t>s</w:t>
      </w:r>
      <w:r w:rsidR="00B15CA8">
        <w:t xml:space="preserve"> such as filing/search/examination. This fits with </w:t>
      </w:r>
      <w:r w:rsidR="00C4757E">
        <w:t>e</w:t>
      </w:r>
      <w:r w:rsidR="00B15CA8">
        <w:t>conomic</w:t>
      </w:r>
      <w:r w:rsidR="00C4757E">
        <w:t xml:space="preserve"> intuition that suggests </w:t>
      </w:r>
      <w:r w:rsidR="00B15CA8">
        <w:t xml:space="preserve">stakeholders </w:t>
      </w:r>
      <w:r w:rsidR="00C4757E">
        <w:t xml:space="preserve">will be </w:t>
      </w:r>
      <w:r w:rsidR="003B02E6">
        <w:t>more</w:t>
      </w:r>
      <w:r w:rsidR="00C4757E">
        <w:t xml:space="preserve"> sensitive to fee changes (more elastic) when they </w:t>
      </w:r>
      <w:r w:rsidR="00B15CA8">
        <w:t xml:space="preserve">have more flexibility </w:t>
      </w:r>
      <w:r w:rsidR="00C4757E">
        <w:t>making choices</w:t>
      </w:r>
      <w:r w:rsidR="00ED10D8">
        <w:t>,</w:t>
      </w:r>
      <w:r w:rsidR="00C4757E">
        <w:t xml:space="preserve"> such as whether </w:t>
      </w:r>
      <w:r w:rsidR="00850325">
        <w:t>or not</w:t>
      </w:r>
      <w:r w:rsidR="00C4757E">
        <w:t xml:space="preserve"> to </w:t>
      </w:r>
      <w:r w:rsidR="00B15CA8">
        <w:t xml:space="preserve">incur fees for excess claims or pages. </w:t>
      </w:r>
    </w:p>
    <w:p w14:paraId="653154D4" w14:textId="77777777" w:rsidR="008C33FF" w:rsidRDefault="008C33FF">
      <w:pPr>
        <w:rPr>
          <w:b/>
          <w:bCs/>
          <w:sz w:val="24"/>
          <w:szCs w:val="24"/>
          <w:highlight w:val="lightGray"/>
        </w:rPr>
      </w:pPr>
      <w:r w:rsidRPr="003D31A0">
        <w:br w:type="page"/>
      </w:r>
    </w:p>
    <w:p w14:paraId="6DB34E2A" w14:textId="7684F17E" w:rsidR="00BB2FF8" w:rsidRPr="00C060DF" w:rsidRDefault="00C060DF" w:rsidP="000A2DE0">
      <w:pPr>
        <w:pStyle w:val="Heading1"/>
        <w:numPr>
          <w:ilvl w:val="0"/>
          <w:numId w:val="4"/>
        </w:numPr>
        <w:spacing w:before="120"/>
        <w:ind w:left="720" w:right="144" w:hanging="630"/>
        <w:jc w:val="left"/>
      </w:pPr>
      <w:r w:rsidRPr="00C060DF">
        <w:lastRenderedPageBreak/>
        <w:t xml:space="preserve">Data and Model Summaries for the </w:t>
      </w:r>
      <w:r w:rsidR="00516035">
        <w:t>Nine</w:t>
      </w:r>
      <w:r w:rsidRPr="00C060DF">
        <w:t xml:space="preserve"> Fee Categories</w:t>
      </w:r>
    </w:p>
    <w:p w14:paraId="4038E977" w14:textId="6198A945" w:rsidR="00BB2FF8" w:rsidRPr="00C060DF" w:rsidRDefault="00BB2FF8" w:rsidP="00D5004D">
      <w:pPr>
        <w:pStyle w:val="Heading1"/>
        <w:spacing w:before="120"/>
        <w:ind w:left="144" w:right="144"/>
        <w:jc w:val="left"/>
        <w:rPr>
          <w:b w:val="0"/>
        </w:rPr>
      </w:pPr>
    </w:p>
    <w:p w14:paraId="2C6FFDCF" w14:textId="6D7AF174" w:rsidR="009374D3" w:rsidRPr="0099688E" w:rsidRDefault="00A87A6D" w:rsidP="00D5004D">
      <w:pPr>
        <w:pStyle w:val="BodyText"/>
        <w:spacing w:before="120"/>
        <w:ind w:left="144" w:right="144"/>
        <w:rPr>
          <w:b/>
          <w:sz w:val="28"/>
        </w:rPr>
      </w:pPr>
      <w:r w:rsidRPr="0099688E">
        <w:rPr>
          <w:b/>
        </w:rPr>
        <w:t>Filing/Search/Examination</w:t>
      </w:r>
      <w:r w:rsidR="003B02E6" w:rsidRPr="0099688E">
        <w:rPr>
          <w:b/>
        </w:rPr>
        <w:t xml:space="preserve"> (FSE)</w:t>
      </w:r>
      <w:r w:rsidR="00BF26A7" w:rsidRPr="0099688E">
        <w:rPr>
          <w:b/>
        </w:rPr>
        <w:t xml:space="preserve"> Fees</w:t>
      </w:r>
    </w:p>
    <w:p w14:paraId="4F3AB27B" w14:textId="23850846" w:rsidR="007E4BF9" w:rsidRDefault="000B5925" w:rsidP="00D5004D">
      <w:pPr>
        <w:pStyle w:val="BodyText"/>
        <w:spacing w:before="120" w:line="480" w:lineRule="auto"/>
        <w:ind w:left="144" w:right="144" w:firstLine="576"/>
      </w:pPr>
      <w:r>
        <w:t>The USPTO</w:t>
      </w:r>
      <w:r w:rsidR="00127556">
        <w:t xml:space="preserve"> postulate</w:t>
      </w:r>
      <w:r>
        <w:t>s</w:t>
      </w:r>
      <w:r w:rsidR="00127556">
        <w:t xml:space="preserve"> that </w:t>
      </w:r>
      <w:r w:rsidR="007E4BF9">
        <w:t xml:space="preserve">stakeholder decisions to apply for a </w:t>
      </w:r>
      <w:r w:rsidR="00127556">
        <w:t>new patent depend</w:t>
      </w:r>
      <w:r w:rsidR="008B243C">
        <w:t xml:space="preserve"> on</w:t>
      </w:r>
      <w:r w:rsidR="0004579D">
        <w:t>—</w:t>
      </w:r>
      <w:r w:rsidR="00D0572E">
        <w:t>among other factors</w:t>
      </w:r>
      <w:r w:rsidR="0004579D">
        <w:t>—</w:t>
      </w:r>
      <w:r w:rsidR="00D0572E">
        <w:t>t</w:t>
      </w:r>
      <w:r w:rsidR="00127556">
        <w:t>he fees the</w:t>
      </w:r>
      <w:r w:rsidR="00D0572E">
        <w:t xml:space="preserve">y </w:t>
      </w:r>
      <w:r w:rsidR="00127556">
        <w:t>expect to pay</w:t>
      </w:r>
      <w:r w:rsidR="00D0572E">
        <w:t xml:space="preserve"> </w:t>
      </w:r>
      <w:r w:rsidR="00127556">
        <w:t xml:space="preserve">the </w:t>
      </w:r>
      <w:r w:rsidR="008B243C">
        <w:t>USP</w:t>
      </w:r>
      <w:r w:rsidR="00127556">
        <w:t>TO. In the literature, researchers have treated the definition of ex</w:t>
      </w:r>
      <w:r w:rsidR="007E4BF9">
        <w:t>pected fees in a variety of ways</w:t>
      </w:r>
      <w:r w:rsidR="003B02E6">
        <w:t>,</w:t>
      </w:r>
      <w:r w:rsidR="007E4BF9">
        <w:t xml:space="preserve"> with some researchers including </w:t>
      </w:r>
      <w:r w:rsidR="008B243C">
        <w:t>attorney/agent fees and</w:t>
      </w:r>
      <w:r w:rsidR="00D0572E">
        <w:t xml:space="preserve"> others including </w:t>
      </w:r>
      <w:r w:rsidR="007E4BF9">
        <w:t>post-gra</w:t>
      </w:r>
      <w:r w:rsidR="008B243C">
        <w:t>nt</w:t>
      </w:r>
      <w:r w:rsidR="007E4BF9">
        <w:t xml:space="preserve"> fees</w:t>
      </w:r>
      <w:r w:rsidR="0004579D">
        <w:t>,</w:t>
      </w:r>
      <w:r w:rsidR="008B243C">
        <w:t xml:space="preserve"> such as those required to maintain a patent to full term</w:t>
      </w:r>
      <w:r w:rsidR="007E4BF9">
        <w:t xml:space="preserve">. </w:t>
      </w:r>
      <w:r>
        <w:t>The</w:t>
      </w:r>
      <w:r w:rsidR="007E4BF9">
        <w:t xml:space="preserve"> </w:t>
      </w:r>
      <w:r w:rsidR="00D0572E">
        <w:t>definition</w:t>
      </w:r>
      <w:r>
        <w:t xml:space="preserve"> used by the </w:t>
      </w:r>
      <w:r w:rsidR="004C57EE">
        <w:t>USPTO</w:t>
      </w:r>
      <w:r w:rsidR="007E4BF9">
        <w:t>, which is similar</w:t>
      </w:r>
      <w:r w:rsidR="004C57EE">
        <w:t xml:space="preserve"> to</w:t>
      </w:r>
      <w:r w:rsidR="007E4BF9">
        <w:t xml:space="preserve"> the work by </w:t>
      </w:r>
      <w:r w:rsidR="007E4BF9" w:rsidRPr="007E4BF9">
        <w:t xml:space="preserve">de Rossenfosse and van Pottelsberghe de la Potterie </w:t>
      </w:r>
      <w:r w:rsidR="007E4BF9">
        <w:t>(</w:t>
      </w:r>
      <w:r w:rsidR="007E4BF9" w:rsidRPr="007E4BF9">
        <w:t>2012</w:t>
      </w:r>
      <w:r w:rsidR="007E4BF9">
        <w:t>)</w:t>
      </w:r>
      <w:r w:rsidR="007E4BF9" w:rsidRPr="007E4BF9">
        <w:t xml:space="preserve">, </w:t>
      </w:r>
      <w:r w:rsidR="008B243C">
        <w:t xml:space="preserve">is </w:t>
      </w:r>
      <w:r w:rsidR="003B02E6">
        <w:t>narrower</w:t>
      </w:r>
      <w:r w:rsidR="008B243C">
        <w:t xml:space="preserve">. </w:t>
      </w:r>
      <w:r w:rsidR="00E517D3">
        <w:t>E</w:t>
      </w:r>
      <w:r w:rsidR="00356C2E" w:rsidRPr="00BD591E">
        <w:t>xpected fee</w:t>
      </w:r>
      <w:r w:rsidR="007E4BF9">
        <w:t xml:space="preserve">s </w:t>
      </w:r>
      <w:r w:rsidR="00E517D3">
        <w:t xml:space="preserve">are defined </w:t>
      </w:r>
      <w:r w:rsidR="007E4BF9">
        <w:t xml:space="preserve">as those </w:t>
      </w:r>
      <w:r w:rsidR="00356C2E" w:rsidRPr="00BD591E">
        <w:t xml:space="preserve">payments </w:t>
      </w:r>
      <w:r w:rsidR="007E4BF9">
        <w:t xml:space="preserve">needed to complete </w:t>
      </w:r>
      <w:r w:rsidR="00356C2E" w:rsidRPr="00BD591E">
        <w:t>the first full round of prosecution (i.e.</w:t>
      </w:r>
      <w:r w:rsidR="00850325">
        <w:t>,</w:t>
      </w:r>
      <w:r w:rsidR="00356C2E" w:rsidRPr="00BD591E">
        <w:t xml:space="preserve"> a </w:t>
      </w:r>
      <w:r w:rsidR="007E4BF9">
        <w:t>USPTO “</w:t>
      </w:r>
      <w:r w:rsidR="00356C2E" w:rsidRPr="00BD591E">
        <w:t>balanced disposal</w:t>
      </w:r>
      <w:r w:rsidR="007E4BF9">
        <w:t>”</w:t>
      </w:r>
      <w:r w:rsidR="0004579D">
        <w:t>—</w:t>
      </w:r>
      <w:r w:rsidR="007E4BF9">
        <w:t xml:space="preserve">the period from initial application through </w:t>
      </w:r>
      <w:r w:rsidR="008B243C">
        <w:t>a</w:t>
      </w:r>
      <w:r w:rsidR="007E4BF9">
        <w:t xml:space="preserve"> patent</w:t>
      </w:r>
      <w:r w:rsidR="00D0572E">
        <w:t>’s</w:t>
      </w:r>
      <w:r w:rsidR="007E4BF9">
        <w:t xml:space="preserve"> first </w:t>
      </w:r>
      <w:r w:rsidR="00356C2E" w:rsidRPr="00BD591E">
        <w:t>final rejection or allowance)</w:t>
      </w:r>
      <w:r w:rsidR="007E4BF9">
        <w:t xml:space="preserve">. To account for variation across technology areas, </w:t>
      </w:r>
      <w:r w:rsidR="00E517D3">
        <w:t xml:space="preserve">the </w:t>
      </w:r>
      <w:r w:rsidR="004C57EE">
        <w:t xml:space="preserve">USPTO </w:t>
      </w:r>
      <w:r w:rsidR="007E4BF9">
        <w:t>calculate</w:t>
      </w:r>
      <w:r w:rsidR="00E517D3">
        <w:t>s</w:t>
      </w:r>
      <w:r w:rsidR="007E4BF9">
        <w:t xml:space="preserve"> </w:t>
      </w:r>
      <w:r w:rsidR="00D0572E">
        <w:t xml:space="preserve">expected </w:t>
      </w:r>
      <w:r w:rsidR="007E4BF9">
        <w:t xml:space="preserve">fees based on historical data for each USPTO </w:t>
      </w:r>
      <w:r w:rsidR="00055041">
        <w:t>t</w:t>
      </w:r>
      <w:r w:rsidR="007E4BF9">
        <w:t xml:space="preserve">echnology </w:t>
      </w:r>
      <w:r w:rsidR="00055041">
        <w:t>c</w:t>
      </w:r>
      <w:r w:rsidR="007E4BF9">
        <w:t>enter (TC).</w:t>
      </w:r>
    </w:p>
    <w:p w14:paraId="5F2A00A2" w14:textId="307238FE" w:rsidR="005C29C1" w:rsidRDefault="003B02E6" w:rsidP="00D5004D">
      <w:pPr>
        <w:pStyle w:val="BodyText"/>
        <w:spacing w:before="120" w:line="480" w:lineRule="auto"/>
        <w:ind w:left="144" w:right="144" w:firstLine="576"/>
      </w:pPr>
      <w:r>
        <w:t xml:space="preserve">The </w:t>
      </w:r>
      <w:r w:rsidR="004C57EE">
        <w:t xml:space="preserve">USPTO </w:t>
      </w:r>
      <w:r>
        <w:t>constructed a</w:t>
      </w:r>
      <w:r w:rsidR="008B243C">
        <w:t xml:space="preserve"> longitudinal database by TC </w:t>
      </w:r>
      <w:r w:rsidR="0087053C">
        <w:t xml:space="preserve">and </w:t>
      </w:r>
      <w:r w:rsidR="0087053C" w:rsidRPr="00F20BE9">
        <w:t>quarter. In most specifications, observed quarter</w:t>
      </w:r>
      <w:r w:rsidR="00571C53" w:rsidRPr="00F20BE9">
        <w:t>s</w:t>
      </w:r>
      <w:r w:rsidR="0087053C" w:rsidRPr="00F20BE9">
        <w:t xml:space="preserve"> </w:t>
      </w:r>
      <w:r w:rsidR="00E517D3">
        <w:t xml:space="preserve">are </w:t>
      </w:r>
      <w:r w:rsidR="00571C53" w:rsidRPr="00F20BE9">
        <w:t xml:space="preserve">for the years </w:t>
      </w:r>
      <w:r w:rsidR="0087053C" w:rsidRPr="00F20BE9">
        <w:t xml:space="preserve">2001 through 2018. </w:t>
      </w:r>
      <w:r w:rsidR="005C29C1" w:rsidRPr="00F20BE9">
        <w:t>The econometric</w:t>
      </w:r>
      <w:r w:rsidR="005C29C1">
        <w:t xml:space="preserve"> model took the</w:t>
      </w:r>
      <w:r w:rsidR="00571C53">
        <w:t xml:space="preserve"> </w:t>
      </w:r>
      <w:r w:rsidR="005C29C1">
        <w:t>following form:</w:t>
      </w:r>
    </w:p>
    <w:p w14:paraId="272690DB" w14:textId="78AFF9F0" w:rsidR="005C29C1" w:rsidRPr="00E9507D" w:rsidRDefault="00FC16F5" w:rsidP="005C29C1">
      <w:pPr>
        <w:pStyle w:val="BodyText"/>
        <w:spacing w:before="120" w:line="480" w:lineRule="auto"/>
        <w:ind w:left="144" w:right="144" w:firstLine="576"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(filings)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(filings)</m:t>
              </m:r>
            </m:e>
            <m:sub>
              <m:r>
                <w:rPr>
                  <w:rFonts w:ascii="Cambria Math" w:hAnsi="Cambria Math"/>
                </w:rPr>
                <m:t>i,t-1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(RExpfee)</m:t>
              </m:r>
            </m:e>
            <m:sub>
              <m:r>
                <w:rPr>
                  <w:rFonts w:ascii="Cambria Math" w:hAnsi="Cambria Math"/>
                </w:rPr>
                <m:t>i,t-1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i,t-1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</m:oMath>
      </m:oMathPara>
    </w:p>
    <w:p w14:paraId="2FD1480D" w14:textId="290129D6" w:rsidR="0087053C" w:rsidRPr="00E9507D" w:rsidRDefault="00213443" w:rsidP="003D31A0">
      <w:pPr>
        <w:pStyle w:val="BodyText"/>
        <w:spacing w:before="120" w:line="480" w:lineRule="auto"/>
        <w:ind w:left="144" w:right="144"/>
      </w:pPr>
      <w:r>
        <w:t>w</w:t>
      </w:r>
      <w:r w:rsidRPr="00E9507D"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(filings)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571C53" w:rsidRPr="00E9507D">
        <w:t xml:space="preserve"> is the </w:t>
      </w:r>
      <w:r w:rsidR="004C57EE">
        <w:t xml:space="preserve">natural </w:t>
      </w:r>
      <w:r w:rsidR="00571C53" w:rsidRPr="00E9507D">
        <w:t xml:space="preserve">log </w:t>
      </w:r>
      <w:r w:rsidR="005C29C1" w:rsidRPr="00E9507D">
        <w:t xml:space="preserve">number of </w:t>
      </w:r>
      <w:r w:rsidR="004B7CE9" w:rsidRPr="00E9507D">
        <w:t>serialized p</w:t>
      </w:r>
      <w:r w:rsidR="00571C53" w:rsidRPr="00E9507D">
        <w:t xml:space="preserve">atent </w:t>
      </w:r>
      <w:r w:rsidR="005C29C1" w:rsidRPr="00E9507D">
        <w:t>filings in T</w:t>
      </w:r>
      <w:r w:rsidR="00E517D3">
        <w:t>C</w:t>
      </w:r>
      <w:r w:rsidR="005C29C1" w:rsidRPr="00E9507D">
        <w:t xml:space="preserve"> </w:t>
      </w:r>
      <w:r w:rsidR="00D16D8A" w:rsidRPr="00E9507D">
        <w:t>i and quarter t and</w:t>
      </w:r>
      <w:r w:rsidR="005C29C1" w:rsidRPr="00E9507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(filings)</m:t>
            </m:r>
          </m:e>
          <m:sub>
            <m:r>
              <w:rPr>
                <w:rFonts w:ascii="Cambria Math" w:hAnsi="Cambria Math"/>
              </w:rPr>
              <m:t>i,t-1</m:t>
            </m:r>
          </m:sub>
        </m:sSub>
      </m:oMath>
      <w:r w:rsidR="00D16D8A" w:rsidRPr="00E9507D">
        <w:t xml:space="preserve"> is a one quarter lag of new filings. </w:t>
      </w:r>
      <m:oMath>
        <m:r>
          <w:rPr>
            <w:rFonts w:ascii="Cambria Math" w:hAnsi="Cambria Math"/>
          </w:rPr>
          <m:t>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Expfee</m:t>
            </m:r>
          </m:e>
          <m:sub>
            <m:r>
              <w:rPr>
                <w:rFonts w:ascii="Cambria Math" w:hAnsi="Cambria Math"/>
              </w:rPr>
              <m:t>i,t-1</m:t>
            </m:r>
          </m:sub>
        </m:sSub>
      </m:oMath>
      <w:r w:rsidR="00C84BD2" w:rsidRPr="00E9507D">
        <w:t xml:space="preserve"> </w:t>
      </w:r>
      <w:r w:rsidR="005C29C1" w:rsidRPr="00E9507D">
        <w:t xml:space="preserve">is the </w:t>
      </w:r>
      <w:r w:rsidR="003256D3">
        <w:t xml:space="preserve">real </w:t>
      </w:r>
      <w:r w:rsidR="005C29C1" w:rsidRPr="00E9507D">
        <w:t xml:space="preserve">expected fee </w:t>
      </w:r>
      <w:r w:rsidR="00063D54">
        <w:t>(</w:t>
      </w:r>
      <w:r w:rsidR="003256D3">
        <w:t>i.e.</w:t>
      </w:r>
      <w:r w:rsidR="009A4186">
        <w:t>,</w:t>
      </w:r>
      <w:r w:rsidR="003256D3">
        <w:t xml:space="preserve"> adjusted for inflation</w:t>
      </w:r>
      <w:r w:rsidR="00063D54">
        <w:t xml:space="preserve">) </w:t>
      </w:r>
      <w:r w:rsidR="004B7CE9" w:rsidRPr="00E9507D">
        <w:t xml:space="preserve">facing </w:t>
      </w:r>
      <w:r w:rsidR="005C29C1" w:rsidRPr="00E9507D">
        <w:t xml:space="preserve">potential applicants </w:t>
      </w:r>
      <w:r w:rsidR="004B7CE9" w:rsidRPr="00E9507D">
        <w:t xml:space="preserve">before </w:t>
      </w:r>
      <w:r w:rsidR="005C29C1" w:rsidRPr="00E9507D">
        <w:t>filing in T</w:t>
      </w:r>
      <w:r w:rsidR="00E517D3">
        <w:t>C</w:t>
      </w:r>
      <w:r w:rsidR="005C29C1" w:rsidRPr="00E9507D">
        <w:t xml:space="preserve"> i </w:t>
      </w:r>
      <w:r w:rsidR="00B812F1">
        <w:t xml:space="preserve">for the prior </w:t>
      </w:r>
      <w:r w:rsidR="005C29C1" w:rsidRPr="00E9507D">
        <w:t xml:space="preserve">quarter </w:t>
      </w:r>
      <w:r w:rsidR="00B812F1">
        <w:t>(</w:t>
      </w:r>
      <w:r w:rsidR="005C29C1" w:rsidRPr="00E9507D">
        <w:t>t</w:t>
      </w:r>
      <w:r w:rsidR="00B812F1">
        <w:t>-1)</w:t>
      </w:r>
      <w:r w:rsidR="004B7CE9" w:rsidRPr="00E9507D">
        <w:t xml:space="preserve">. </w:t>
      </w:r>
      <w:r w:rsidR="004B7CE9" w:rsidRPr="00E9507D">
        <w:rPr>
          <w:b/>
        </w:rPr>
        <w:t>X</w:t>
      </w:r>
      <w:r w:rsidR="004B7CE9" w:rsidRPr="00E9507D">
        <w:t xml:space="preserve"> is a matrix of other factors and includes the natural </w:t>
      </w:r>
      <w:r w:rsidR="005C29C1" w:rsidRPr="00E9507D">
        <w:t xml:space="preserve">log </w:t>
      </w:r>
      <w:r w:rsidR="004B7CE9" w:rsidRPr="00E9507D">
        <w:t xml:space="preserve">of </w:t>
      </w:r>
      <w:r w:rsidR="005C29C1" w:rsidRPr="00E9507D">
        <w:t xml:space="preserve">average </w:t>
      </w:r>
      <w:r w:rsidR="004B7CE9" w:rsidRPr="00E9507D">
        <w:t xml:space="preserve">patent </w:t>
      </w:r>
      <w:r w:rsidR="005C29C1" w:rsidRPr="00E9507D">
        <w:t>pend</w:t>
      </w:r>
      <w:r w:rsidR="004B7CE9" w:rsidRPr="00E9507D">
        <w:t xml:space="preserve">ency </w:t>
      </w:r>
      <w:r w:rsidR="00E9507D" w:rsidRPr="00E9507D">
        <w:t xml:space="preserve">in </w:t>
      </w:r>
      <w:r w:rsidR="004B7CE9" w:rsidRPr="00E9507D">
        <w:t>the TC</w:t>
      </w:r>
      <w:r w:rsidR="00E9507D" w:rsidRPr="00E9507D">
        <w:t xml:space="preserve"> for the prior quarter (t-1)</w:t>
      </w:r>
      <w:r w:rsidR="00850325">
        <w:t>,</w:t>
      </w:r>
      <w:r w:rsidR="004B7CE9" w:rsidRPr="00E9507D">
        <w:t xml:space="preserve"> share of new applications </w:t>
      </w:r>
      <w:r w:rsidR="005B4AB0">
        <w:t>(i.e.</w:t>
      </w:r>
      <w:r w:rsidR="009A4186">
        <w:t>,</w:t>
      </w:r>
      <w:r w:rsidR="005B4AB0">
        <w:t xml:space="preserve"> those with no </w:t>
      </w:r>
      <w:r w:rsidR="00C978EC">
        <w:t>parent</w:t>
      </w:r>
      <w:r w:rsidR="005B4AB0">
        <w:t xml:space="preserve"> application) </w:t>
      </w:r>
      <w:r w:rsidR="005C29C1" w:rsidRPr="00E9507D">
        <w:t xml:space="preserve">in </w:t>
      </w:r>
      <w:r w:rsidR="004B7CE9" w:rsidRPr="00E9507D">
        <w:t xml:space="preserve">the TC </w:t>
      </w:r>
      <w:r w:rsidR="00E9507D" w:rsidRPr="00E9507D">
        <w:t>for</w:t>
      </w:r>
      <w:r w:rsidR="004B7CE9" w:rsidRPr="00E9507D">
        <w:t xml:space="preserve"> the prior </w:t>
      </w:r>
      <w:r w:rsidR="005C29C1" w:rsidRPr="00E9507D">
        <w:t xml:space="preserve">quarter </w:t>
      </w:r>
      <w:r w:rsidR="004B7CE9" w:rsidRPr="00E9507D">
        <w:t>(</w:t>
      </w:r>
      <w:r w:rsidR="005C29C1" w:rsidRPr="00E9507D">
        <w:t>t-1</w:t>
      </w:r>
      <w:r w:rsidR="004B7CE9" w:rsidRPr="00E9507D">
        <w:t>)</w:t>
      </w:r>
      <w:r w:rsidR="005C29C1" w:rsidRPr="00E9507D">
        <w:t xml:space="preserve">, share of applications with foreign priority in </w:t>
      </w:r>
      <w:r w:rsidR="004B7CE9" w:rsidRPr="00E9507D">
        <w:t xml:space="preserve">the TC for </w:t>
      </w:r>
      <w:r w:rsidR="006D4322" w:rsidRPr="00E9507D">
        <w:t>the prior</w:t>
      </w:r>
      <w:r w:rsidR="004B7CE9" w:rsidRPr="00E9507D">
        <w:t xml:space="preserve"> </w:t>
      </w:r>
      <w:r w:rsidR="005C29C1" w:rsidRPr="00E9507D">
        <w:t>quarter</w:t>
      </w:r>
      <w:r w:rsidR="004B7CE9" w:rsidRPr="00E9507D">
        <w:t xml:space="preserve"> (</w:t>
      </w:r>
      <w:r w:rsidR="005C29C1" w:rsidRPr="00E9507D">
        <w:t>t-1</w:t>
      </w:r>
      <w:r w:rsidR="004B7CE9" w:rsidRPr="00E9507D">
        <w:t>)</w:t>
      </w:r>
      <w:r w:rsidR="005C29C1" w:rsidRPr="00E9507D">
        <w:t xml:space="preserve">, and </w:t>
      </w:r>
      <w:r w:rsidR="004B7CE9" w:rsidRPr="00E9507D">
        <w:t xml:space="preserve">the </w:t>
      </w:r>
      <w:r w:rsidR="005C29C1" w:rsidRPr="00E9507D">
        <w:t xml:space="preserve">share of applications from small entities </w:t>
      </w:r>
      <w:r w:rsidR="004B7CE9" w:rsidRPr="00E9507D">
        <w:t xml:space="preserve">in the TC for the prior </w:t>
      </w:r>
      <w:r w:rsidR="005C29C1" w:rsidRPr="00E9507D">
        <w:t xml:space="preserve">quarter </w:t>
      </w:r>
      <w:r w:rsidR="004B7CE9" w:rsidRPr="00E9507D">
        <w:t>(</w:t>
      </w:r>
      <w:r w:rsidR="005C29C1" w:rsidRPr="00E9507D">
        <w:t>t-1</w:t>
      </w:r>
      <w:r w:rsidR="004B7CE9" w:rsidRPr="00E9507D">
        <w:t>)</w:t>
      </w:r>
      <w:r w:rsidR="005C29C1" w:rsidRPr="00E9507D"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4B7CE9" w:rsidRPr="00E9507D">
        <w:t xml:space="preserve"> represents a full set of quarterly time dummy variable</w:t>
      </w:r>
      <w:r w:rsidR="00E9507D">
        <w:t>s</w:t>
      </w:r>
      <w:r w:rsidR="004B7CE9" w:rsidRPr="00E9507D">
        <w:t xml:space="preserve"> to capture common influences </w:t>
      </w:r>
      <w:r w:rsidR="00E9507D">
        <w:lastRenderedPageBreak/>
        <w:t>across TC</w:t>
      </w:r>
      <w:r w:rsidR="004B7CE9" w:rsidRPr="00E9507D">
        <w:t xml:space="preserve">s due to the passage of time.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B7CE9" w:rsidRPr="00E9507D">
        <w:t xml:space="preserve"> is a TC-specific </w:t>
      </w:r>
      <w:r w:rsidR="00E9507D">
        <w:t xml:space="preserve">variable </w:t>
      </w:r>
      <w:r w:rsidR="004B7CE9" w:rsidRPr="00E9507D">
        <w:t xml:space="preserve">that accounts for time constant characteristics of that individual TC. </w:t>
      </w:r>
    </w:p>
    <w:p w14:paraId="4E5A66DF" w14:textId="419B1FB9" w:rsidR="000461DE" w:rsidRPr="00BD591E" w:rsidRDefault="000B6F0B" w:rsidP="00D5004D">
      <w:pPr>
        <w:pStyle w:val="BodyText"/>
        <w:spacing w:before="120" w:line="480" w:lineRule="auto"/>
        <w:ind w:left="144" w:right="144" w:firstLine="576"/>
      </w:pPr>
      <w:r>
        <w:t>T</w:t>
      </w:r>
      <w:r w:rsidR="004B7CE9">
        <w:t xml:space="preserve">his is a dynamic </w:t>
      </w:r>
      <w:r w:rsidR="00A35033">
        <w:t>model</w:t>
      </w:r>
      <w:r w:rsidR="004B7CE9">
        <w:t xml:space="preserve"> with panel data</w:t>
      </w:r>
      <w:r w:rsidR="008A0D7C">
        <w:t xml:space="preserve"> that utilizes</w:t>
      </w:r>
      <w:r w:rsidR="004B7CE9">
        <w:t xml:space="preserve"> </w:t>
      </w:r>
      <w:r w:rsidR="00E87124">
        <w:t xml:space="preserve">the </w:t>
      </w:r>
      <w:r w:rsidR="004B7CE9" w:rsidRPr="004B7CE9">
        <w:t>Arellano-Bond estimator</w:t>
      </w:r>
      <w:r w:rsidR="008A0D7C">
        <w:t>, which is a generalized method of moments estimator used to estimate dynamic panel data models</w:t>
      </w:r>
      <w:r w:rsidR="00A35033">
        <w:t xml:space="preserve">. The coefficient on </w:t>
      </w:r>
      <w:r w:rsidR="008912FF">
        <w:t xml:space="preserve">the </w:t>
      </w:r>
      <w:r w:rsidR="00A35033">
        <w:t>expected fee</w:t>
      </w:r>
      <w:r w:rsidR="0005681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56818">
        <w:t xml:space="preserve">, estimates the elasticity of serialized </w:t>
      </w:r>
      <w:r w:rsidR="00A35033">
        <w:t xml:space="preserve">patent </w:t>
      </w:r>
      <w:r w:rsidR="00056818">
        <w:t>filings per quarter</w:t>
      </w:r>
      <w:r w:rsidR="00E81698">
        <w:t>—</w:t>
      </w:r>
      <w:r w:rsidR="00056818">
        <w:t xml:space="preserve">the percentage change in new </w:t>
      </w:r>
      <w:r w:rsidR="00A35033">
        <w:t>serialize</w:t>
      </w:r>
      <w:r w:rsidR="008A0D7C">
        <w:t>d</w:t>
      </w:r>
      <w:r w:rsidR="00A35033">
        <w:t xml:space="preserve"> </w:t>
      </w:r>
      <w:r w:rsidR="00056818">
        <w:t xml:space="preserve">filings in response to </w:t>
      </w:r>
      <w:r w:rsidR="00A35033">
        <w:t>a 1</w:t>
      </w:r>
      <w:r w:rsidR="00055041">
        <w:t>.0</w:t>
      </w:r>
      <w:r w:rsidR="0009544C">
        <w:t xml:space="preserve"> percent</w:t>
      </w:r>
      <w:r w:rsidR="00A35033">
        <w:t xml:space="preserve"> change in expected fees. </w:t>
      </w:r>
      <w:r w:rsidR="00CF0A2D">
        <w:t xml:space="preserve">To ensure </w:t>
      </w:r>
      <w:r w:rsidR="00E517D3">
        <w:t>the</w:t>
      </w:r>
      <w:r w:rsidR="00CF0A2D">
        <w:t xml:space="preserve"> results did not depend critically on the definition of expected fees, </w:t>
      </w:r>
      <w:r w:rsidR="00E517D3">
        <w:t xml:space="preserve">the </w:t>
      </w:r>
      <w:r w:rsidR="0009544C">
        <w:t xml:space="preserve">office </w:t>
      </w:r>
      <w:r w:rsidR="00CF0A2D">
        <w:t>ran alternative models using e</w:t>
      </w:r>
      <w:r w:rsidR="0050757A" w:rsidRPr="00CF0A2D">
        <w:t>xpected fees through issuance</w:t>
      </w:r>
      <w:r w:rsidR="00CC0AEB" w:rsidRPr="00CF0A2D">
        <w:t>.</w:t>
      </w:r>
      <w:r w:rsidR="0050757A" w:rsidRPr="00CF0A2D">
        <w:t xml:space="preserve"> </w:t>
      </w:r>
      <w:r w:rsidR="00CF0A2D">
        <w:t xml:space="preserve">Also, to </w:t>
      </w:r>
      <w:r w:rsidR="00C978EC" w:rsidRPr="00CF0A2D">
        <w:t>investigate the possibility that small entities have a different FSE elasticity,</w:t>
      </w:r>
      <w:r w:rsidR="00CC0AEB" w:rsidRPr="00CF0A2D">
        <w:t xml:space="preserve"> a</w:t>
      </w:r>
      <w:r w:rsidR="0050757A" w:rsidRPr="00CF0A2D">
        <w:t xml:space="preserve">n interaction term </w:t>
      </w:r>
      <w:r w:rsidR="00E517D3">
        <w:t xml:space="preserve">was included </w:t>
      </w:r>
      <w:r w:rsidR="0050757A" w:rsidRPr="00CF0A2D">
        <w:t xml:space="preserve">between expected fees and </w:t>
      </w:r>
      <w:r w:rsidR="00CF0A2D">
        <w:t xml:space="preserve">the </w:t>
      </w:r>
      <w:r w:rsidR="0050757A" w:rsidRPr="00CF0A2D">
        <w:t>lagged share of small entity applications</w:t>
      </w:r>
      <w:r w:rsidR="00CF0A2D">
        <w:t>.</w:t>
      </w:r>
      <w:r w:rsidR="00CC0AEB" w:rsidRPr="00CF0A2D">
        <w:t xml:space="preserve"> </w:t>
      </w:r>
      <w:r w:rsidR="00CF0A2D" w:rsidRPr="00CF0A2D">
        <w:t>These models did not find a statistically significant difference in the elasticities across entity size. A</w:t>
      </w:r>
      <w:r w:rsidR="00CF0A2D">
        <w:t>s shown in Table 1, the</w:t>
      </w:r>
      <w:r w:rsidR="000461DE" w:rsidRPr="00BD591E">
        <w:t xml:space="preserve"> results indicate an FSE fee elasticity of -0.16</w:t>
      </w:r>
      <w:r w:rsidR="008A0D7C">
        <w:t>, which means a 10</w:t>
      </w:r>
      <w:r w:rsidR="0009544C">
        <w:t xml:space="preserve"> percent</w:t>
      </w:r>
      <w:r w:rsidR="008A0D7C">
        <w:t xml:space="preserve"> aggregate increase in the FSE fees can be expected to result in a 1.6</w:t>
      </w:r>
      <w:r w:rsidR="0009544C">
        <w:t xml:space="preserve"> percent</w:t>
      </w:r>
      <w:r w:rsidR="008A0D7C">
        <w:t xml:space="preserve"> reduction in application filings. The</w:t>
      </w:r>
      <w:r w:rsidR="000461DE" w:rsidRPr="00BD591E">
        <w:t xml:space="preserve"> 95</w:t>
      </w:r>
      <w:r w:rsidR="0009544C">
        <w:t xml:space="preserve"> percent</w:t>
      </w:r>
      <w:r w:rsidR="000461DE" w:rsidRPr="00BD591E">
        <w:t xml:space="preserve"> confidence interval </w:t>
      </w:r>
      <w:r w:rsidR="008A0D7C">
        <w:t xml:space="preserve">for this elasticity </w:t>
      </w:r>
      <w:r w:rsidR="000461DE" w:rsidRPr="00BD591E">
        <w:t>rang</w:t>
      </w:r>
      <w:r w:rsidR="008A0D7C">
        <w:t>es</w:t>
      </w:r>
      <w:r w:rsidR="000461DE" w:rsidRPr="00BD591E">
        <w:t xml:space="preserve"> from </w:t>
      </w:r>
      <w:r w:rsidR="00CF0A2D">
        <w:t>-0.27 to -0.06</w:t>
      </w:r>
      <w:r w:rsidR="00CC0AEB" w:rsidRPr="00BD591E">
        <w:t>.</w:t>
      </w:r>
    </w:p>
    <w:p w14:paraId="51F9339E" w14:textId="35219F96" w:rsidR="00567952" w:rsidRPr="0099688E" w:rsidRDefault="00567952" w:rsidP="00D5004D">
      <w:pPr>
        <w:pStyle w:val="BodyText"/>
        <w:spacing w:before="120" w:line="480" w:lineRule="auto"/>
        <w:ind w:left="144" w:right="144"/>
        <w:rPr>
          <w:b/>
        </w:rPr>
      </w:pPr>
      <w:r w:rsidRPr="0099688E">
        <w:rPr>
          <w:b/>
        </w:rPr>
        <w:t>Excess Independent</w:t>
      </w:r>
      <w:r w:rsidR="00E517D3" w:rsidRPr="0099688E">
        <w:rPr>
          <w:b/>
        </w:rPr>
        <w:t xml:space="preserve"> Claim</w:t>
      </w:r>
      <w:r w:rsidRPr="0099688E">
        <w:rPr>
          <w:b/>
        </w:rPr>
        <w:t xml:space="preserve">, </w:t>
      </w:r>
      <w:r w:rsidR="00E517D3" w:rsidRPr="0099688E">
        <w:rPr>
          <w:b/>
        </w:rPr>
        <w:t xml:space="preserve">Excess </w:t>
      </w:r>
      <w:r w:rsidRPr="0099688E">
        <w:rPr>
          <w:b/>
        </w:rPr>
        <w:t>Total</w:t>
      </w:r>
      <w:r w:rsidR="00E517D3" w:rsidRPr="0099688E">
        <w:rPr>
          <w:b/>
        </w:rPr>
        <w:t xml:space="preserve"> Claim</w:t>
      </w:r>
      <w:r w:rsidR="00213443" w:rsidRPr="0099688E">
        <w:rPr>
          <w:b/>
        </w:rPr>
        <w:t>,</w:t>
      </w:r>
      <w:r w:rsidRPr="0099688E">
        <w:rPr>
          <w:b/>
        </w:rPr>
        <w:t xml:space="preserve"> and </w:t>
      </w:r>
      <w:r w:rsidR="00055041" w:rsidRPr="0099688E">
        <w:rPr>
          <w:b/>
        </w:rPr>
        <w:t>Application Size (</w:t>
      </w:r>
      <w:r w:rsidR="00E517D3" w:rsidRPr="0099688E">
        <w:rPr>
          <w:b/>
        </w:rPr>
        <w:t xml:space="preserve">Excess </w:t>
      </w:r>
      <w:r w:rsidRPr="0099688E">
        <w:rPr>
          <w:b/>
        </w:rPr>
        <w:t>Page</w:t>
      </w:r>
      <w:r w:rsidR="00055041" w:rsidRPr="0099688E">
        <w:rPr>
          <w:b/>
        </w:rPr>
        <w:t>)</w:t>
      </w:r>
      <w:r w:rsidRPr="0099688E">
        <w:rPr>
          <w:b/>
        </w:rPr>
        <w:t xml:space="preserve"> Fees</w:t>
      </w:r>
    </w:p>
    <w:p w14:paraId="63354731" w14:textId="771CE22E" w:rsidR="00C674C4" w:rsidRDefault="00567952" w:rsidP="00D5004D">
      <w:pPr>
        <w:spacing w:before="120" w:line="480" w:lineRule="auto"/>
        <w:ind w:left="144" w:right="144"/>
        <w:rPr>
          <w:sz w:val="24"/>
          <w:szCs w:val="24"/>
        </w:rPr>
      </w:pPr>
      <w:r w:rsidRPr="009B7FE7">
        <w:rPr>
          <w:sz w:val="24"/>
          <w:szCs w:val="24"/>
        </w:rPr>
        <w:tab/>
        <w:t>To</w:t>
      </w:r>
      <w:r w:rsidR="00B9684C" w:rsidRPr="009B7FE7">
        <w:rPr>
          <w:sz w:val="24"/>
          <w:szCs w:val="24"/>
        </w:rPr>
        <w:t xml:space="preserve"> estimate fee elasticities</w:t>
      </w:r>
      <w:r w:rsidR="004A6907" w:rsidRPr="009B7FE7">
        <w:rPr>
          <w:sz w:val="24"/>
          <w:szCs w:val="24"/>
        </w:rPr>
        <w:t xml:space="preserve"> </w:t>
      </w:r>
      <w:r w:rsidR="00CB22D5">
        <w:rPr>
          <w:sz w:val="24"/>
          <w:szCs w:val="24"/>
        </w:rPr>
        <w:t xml:space="preserve">for </w:t>
      </w:r>
      <w:r w:rsidR="00317CE3">
        <w:rPr>
          <w:sz w:val="24"/>
          <w:szCs w:val="24"/>
        </w:rPr>
        <w:t>excess independent claim</w:t>
      </w:r>
      <w:r w:rsidR="007F0690">
        <w:rPr>
          <w:sz w:val="24"/>
          <w:szCs w:val="24"/>
        </w:rPr>
        <w:t>s</w:t>
      </w:r>
      <w:r w:rsidR="00317CE3">
        <w:rPr>
          <w:sz w:val="24"/>
          <w:szCs w:val="24"/>
        </w:rPr>
        <w:t>, excess total claim</w:t>
      </w:r>
      <w:r w:rsidR="007F0690">
        <w:rPr>
          <w:sz w:val="24"/>
          <w:szCs w:val="24"/>
        </w:rPr>
        <w:t>s</w:t>
      </w:r>
      <w:r w:rsidR="008A0D7C">
        <w:rPr>
          <w:sz w:val="24"/>
          <w:szCs w:val="24"/>
        </w:rPr>
        <w:t>,</w:t>
      </w:r>
      <w:r w:rsidR="00317CE3">
        <w:rPr>
          <w:sz w:val="24"/>
          <w:szCs w:val="24"/>
        </w:rPr>
        <w:t xml:space="preserve"> and </w:t>
      </w:r>
      <w:r w:rsidR="00055041">
        <w:rPr>
          <w:sz w:val="24"/>
          <w:szCs w:val="24"/>
        </w:rPr>
        <w:t>application size (</w:t>
      </w:r>
      <w:r w:rsidR="00317CE3">
        <w:rPr>
          <w:sz w:val="24"/>
          <w:szCs w:val="24"/>
        </w:rPr>
        <w:t>excess page</w:t>
      </w:r>
      <w:r w:rsidR="00055041">
        <w:rPr>
          <w:sz w:val="24"/>
          <w:szCs w:val="24"/>
        </w:rPr>
        <w:t>)</w:t>
      </w:r>
      <w:r w:rsidR="00317CE3">
        <w:rPr>
          <w:sz w:val="24"/>
          <w:szCs w:val="24"/>
        </w:rPr>
        <w:t xml:space="preserve"> fees</w:t>
      </w:r>
      <w:r w:rsidR="00CB22D5">
        <w:rPr>
          <w:sz w:val="24"/>
          <w:szCs w:val="24"/>
        </w:rPr>
        <w:t xml:space="preserve">, </w:t>
      </w:r>
      <w:r w:rsidR="00317CE3">
        <w:rPr>
          <w:sz w:val="24"/>
          <w:szCs w:val="24"/>
        </w:rPr>
        <w:t xml:space="preserve">the </w:t>
      </w:r>
      <w:r w:rsidR="0009544C">
        <w:rPr>
          <w:sz w:val="24"/>
          <w:szCs w:val="24"/>
        </w:rPr>
        <w:t>USPTO</w:t>
      </w:r>
      <w:r w:rsidR="0009544C" w:rsidRPr="009B7FE7">
        <w:rPr>
          <w:sz w:val="24"/>
          <w:szCs w:val="24"/>
        </w:rPr>
        <w:t xml:space="preserve"> </w:t>
      </w:r>
      <w:r w:rsidR="009B7FE7">
        <w:rPr>
          <w:sz w:val="24"/>
          <w:szCs w:val="24"/>
        </w:rPr>
        <w:t>analyzed stakeholder response</w:t>
      </w:r>
      <w:r w:rsidR="009A4D4D">
        <w:rPr>
          <w:sz w:val="24"/>
          <w:szCs w:val="24"/>
        </w:rPr>
        <w:t>s</w:t>
      </w:r>
      <w:r w:rsidR="009B7FE7">
        <w:rPr>
          <w:sz w:val="24"/>
          <w:szCs w:val="24"/>
        </w:rPr>
        <w:t xml:space="preserve"> to the </w:t>
      </w:r>
      <w:r w:rsidR="00E64092">
        <w:rPr>
          <w:sz w:val="24"/>
          <w:szCs w:val="24"/>
        </w:rPr>
        <w:t>15</w:t>
      </w:r>
      <w:r w:rsidR="0009544C">
        <w:rPr>
          <w:sz w:val="24"/>
          <w:szCs w:val="24"/>
        </w:rPr>
        <w:t xml:space="preserve"> percent</w:t>
      </w:r>
      <w:r w:rsidR="00E64092">
        <w:rPr>
          <w:sz w:val="24"/>
          <w:szCs w:val="24"/>
        </w:rPr>
        <w:t xml:space="preserve"> fee increases introduced in the AIA (76 Fed</w:t>
      </w:r>
      <w:r w:rsidR="00494CAE">
        <w:rPr>
          <w:sz w:val="24"/>
          <w:szCs w:val="24"/>
        </w:rPr>
        <w:t>.</w:t>
      </w:r>
      <w:r w:rsidR="00E64092">
        <w:rPr>
          <w:sz w:val="24"/>
          <w:szCs w:val="24"/>
        </w:rPr>
        <w:t xml:space="preserve"> Reg</w:t>
      </w:r>
      <w:r w:rsidR="00494CAE">
        <w:rPr>
          <w:sz w:val="24"/>
          <w:szCs w:val="24"/>
        </w:rPr>
        <w:t>.</w:t>
      </w:r>
      <w:r w:rsidR="00E64092">
        <w:rPr>
          <w:sz w:val="24"/>
          <w:szCs w:val="24"/>
        </w:rPr>
        <w:t xml:space="preserve"> 59115 </w:t>
      </w:r>
      <w:r w:rsidR="00494CAE">
        <w:rPr>
          <w:sz w:val="24"/>
          <w:szCs w:val="24"/>
        </w:rPr>
        <w:t>(</w:t>
      </w:r>
      <w:r w:rsidR="00E64092">
        <w:rPr>
          <w:sz w:val="24"/>
          <w:szCs w:val="24"/>
        </w:rPr>
        <w:t>Sep</w:t>
      </w:r>
      <w:r w:rsidR="000D34A2">
        <w:rPr>
          <w:sz w:val="24"/>
          <w:szCs w:val="24"/>
        </w:rPr>
        <w:t>tember</w:t>
      </w:r>
      <w:r w:rsidR="00E64092">
        <w:rPr>
          <w:sz w:val="24"/>
          <w:szCs w:val="24"/>
        </w:rPr>
        <w:t xml:space="preserve"> 23</w:t>
      </w:r>
      <w:r w:rsidR="0072240E">
        <w:rPr>
          <w:sz w:val="24"/>
          <w:szCs w:val="24"/>
        </w:rPr>
        <w:t>,</w:t>
      </w:r>
      <w:r w:rsidR="00E64092">
        <w:rPr>
          <w:sz w:val="24"/>
          <w:szCs w:val="24"/>
        </w:rPr>
        <w:t xml:space="preserve"> 2011</w:t>
      </w:r>
      <w:r w:rsidR="00494CAE">
        <w:rPr>
          <w:sz w:val="24"/>
          <w:szCs w:val="24"/>
        </w:rPr>
        <w:t>)</w:t>
      </w:r>
      <w:r w:rsidR="00E64092">
        <w:rPr>
          <w:sz w:val="24"/>
          <w:szCs w:val="24"/>
        </w:rPr>
        <w:t>)</w:t>
      </w:r>
      <w:r w:rsidR="009A4D4D" w:rsidRPr="009A4D4D">
        <w:rPr>
          <w:sz w:val="24"/>
          <w:szCs w:val="24"/>
        </w:rPr>
        <w:t xml:space="preserve"> for excess independent claims</w:t>
      </w:r>
      <w:r w:rsidR="00E64092">
        <w:rPr>
          <w:sz w:val="24"/>
          <w:szCs w:val="24"/>
        </w:rPr>
        <w:t xml:space="preserve"> ($220 to $250)</w:t>
      </w:r>
      <w:r w:rsidR="009A4D4D" w:rsidRPr="009A4D4D">
        <w:rPr>
          <w:sz w:val="24"/>
          <w:szCs w:val="24"/>
        </w:rPr>
        <w:t xml:space="preserve">, </w:t>
      </w:r>
      <w:r w:rsidR="00CB22D5">
        <w:rPr>
          <w:sz w:val="24"/>
          <w:szCs w:val="24"/>
        </w:rPr>
        <w:t xml:space="preserve">excess </w:t>
      </w:r>
      <w:r w:rsidR="009A4D4D" w:rsidRPr="009A4D4D">
        <w:rPr>
          <w:sz w:val="24"/>
          <w:szCs w:val="24"/>
        </w:rPr>
        <w:t>total claims</w:t>
      </w:r>
      <w:r w:rsidR="00E64092">
        <w:rPr>
          <w:sz w:val="24"/>
          <w:szCs w:val="24"/>
        </w:rPr>
        <w:t xml:space="preserve"> ($52 to $60)</w:t>
      </w:r>
      <w:r w:rsidR="009A4D4D" w:rsidRPr="009A4D4D">
        <w:rPr>
          <w:sz w:val="24"/>
          <w:szCs w:val="24"/>
        </w:rPr>
        <w:t xml:space="preserve">, and </w:t>
      </w:r>
      <w:r w:rsidR="00055041">
        <w:rPr>
          <w:sz w:val="24"/>
          <w:szCs w:val="24"/>
        </w:rPr>
        <w:t>application size (</w:t>
      </w:r>
      <w:r w:rsidR="00CB22D5">
        <w:rPr>
          <w:sz w:val="24"/>
          <w:szCs w:val="24"/>
        </w:rPr>
        <w:t xml:space="preserve">excess </w:t>
      </w:r>
      <w:r w:rsidR="009A4D4D" w:rsidRPr="009A4D4D">
        <w:rPr>
          <w:sz w:val="24"/>
          <w:szCs w:val="24"/>
        </w:rPr>
        <w:t>pages</w:t>
      </w:r>
      <w:r w:rsidR="00055041">
        <w:rPr>
          <w:sz w:val="24"/>
          <w:szCs w:val="24"/>
        </w:rPr>
        <w:t>)</w:t>
      </w:r>
      <w:r w:rsidR="00E64092">
        <w:rPr>
          <w:sz w:val="24"/>
          <w:szCs w:val="24"/>
        </w:rPr>
        <w:t xml:space="preserve"> ($270 to $310)</w:t>
      </w:r>
      <w:r w:rsidR="004A6907" w:rsidRPr="009B7FE7">
        <w:rPr>
          <w:sz w:val="24"/>
          <w:szCs w:val="24"/>
        </w:rPr>
        <w:t xml:space="preserve">. </w:t>
      </w:r>
      <w:r w:rsidR="00C674C4">
        <w:rPr>
          <w:sz w:val="24"/>
          <w:szCs w:val="24"/>
        </w:rPr>
        <w:t>T</w:t>
      </w:r>
      <w:r w:rsidR="008A0D7C">
        <w:rPr>
          <w:sz w:val="24"/>
          <w:szCs w:val="24"/>
        </w:rPr>
        <w:t>o</w:t>
      </w:r>
      <w:r w:rsidR="00C674C4">
        <w:rPr>
          <w:sz w:val="24"/>
          <w:szCs w:val="24"/>
        </w:rPr>
        <w:t xml:space="preserve"> compare patent application</w:t>
      </w:r>
      <w:r w:rsidR="00317CE3">
        <w:rPr>
          <w:sz w:val="24"/>
          <w:szCs w:val="24"/>
        </w:rPr>
        <w:t>s</w:t>
      </w:r>
      <w:r w:rsidR="00C674C4">
        <w:rPr>
          <w:sz w:val="24"/>
          <w:szCs w:val="24"/>
        </w:rPr>
        <w:t xml:space="preserve"> filed before the fee change with those filed after the fee change</w:t>
      </w:r>
      <w:r w:rsidR="008A0D7C">
        <w:rPr>
          <w:sz w:val="24"/>
          <w:szCs w:val="24"/>
        </w:rPr>
        <w:t>, t</w:t>
      </w:r>
      <w:r w:rsidR="00317CE3">
        <w:rPr>
          <w:sz w:val="24"/>
          <w:szCs w:val="24"/>
        </w:rPr>
        <w:t xml:space="preserve">he </w:t>
      </w:r>
      <w:r w:rsidR="0072240E">
        <w:rPr>
          <w:sz w:val="24"/>
          <w:szCs w:val="24"/>
        </w:rPr>
        <w:t>O</w:t>
      </w:r>
      <w:r w:rsidR="0009544C">
        <w:rPr>
          <w:sz w:val="24"/>
          <w:szCs w:val="24"/>
        </w:rPr>
        <w:t xml:space="preserve">ffice </w:t>
      </w:r>
      <w:r w:rsidR="00C674C4">
        <w:rPr>
          <w:sz w:val="24"/>
          <w:szCs w:val="24"/>
        </w:rPr>
        <w:t xml:space="preserve">constructed a patent application-level dataset with applications filed </w:t>
      </w:r>
      <w:r w:rsidR="00317CE3">
        <w:rPr>
          <w:sz w:val="24"/>
          <w:szCs w:val="24"/>
        </w:rPr>
        <w:t>six</w:t>
      </w:r>
      <w:r w:rsidR="004B188E" w:rsidRPr="004B188E">
        <w:rPr>
          <w:sz w:val="24"/>
          <w:szCs w:val="24"/>
        </w:rPr>
        <w:t xml:space="preserve"> months to </w:t>
      </w:r>
      <w:r w:rsidR="00317CE3">
        <w:rPr>
          <w:sz w:val="24"/>
          <w:szCs w:val="24"/>
        </w:rPr>
        <w:t>three</w:t>
      </w:r>
      <w:r w:rsidR="004B188E" w:rsidRPr="004B188E">
        <w:rPr>
          <w:sz w:val="24"/>
          <w:szCs w:val="24"/>
        </w:rPr>
        <w:t xml:space="preserve"> months before </w:t>
      </w:r>
      <w:r w:rsidR="00C674C4">
        <w:rPr>
          <w:sz w:val="24"/>
          <w:szCs w:val="24"/>
        </w:rPr>
        <w:t xml:space="preserve">the 2011 fee change and patent applications filed </w:t>
      </w:r>
      <w:r w:rsidR="00317CE3">
        <w:rPr>
          <w:sz w:val="24"/>
          <w:szCs w:val="24"/>
        </w:rPr>
        <w:t>three</w:t>
      </w:r>
      <w:r w:rsidR="00C674C4">
        <w:rPr>
          <w:sz w:val="24"/>
          <w:szCs w:val="24"/>
        </w:rPr>
        <w:t xml:space="preserve"> months to </w:t>
      </w:r>
      <w:r w:rsidR="00317CE3">
        <w:rPr>
          <w:sz w:val="24"/>
          <w:szCs w:val="24"/>
        </w:rPr>
        <w:t>six</w:t>
      </w:r>
      <w:r w:rsidR="00C674C4">
        <w:rPr>
          <w:sz w:val="24"/>
          <w:szCs w:val="24"/>
        </w:rPr>
        <w:t xml:space="preserve"> months after the fee change. </w:t>
      </w:r>
      <w:r w:rsidR="004B188E" w:rsidRPr="004B188E">
        <w:rPr>
          <w:sz w:val="24"/>
          <w:szCs w:val="24"/>
        </w:rPr>
        <w:t xml:space="preserve">The six months surrounding the fee change were not included in the sample because applicants could choose to file an application before the </w:t>
      </w:r>
      <w:r w:rsidR="004B188E" w:rsidRPr="004B188E">
        <w:rPr>
          <w:sz w:val="24"/>
          <w:szCs w:val="24"/>
        </w:rPr>
        <w:lastRenderedPageBreak/>
        <w:t>fee change</w:t>
      </w:r>
      <w:r w:rsidR="0072240E">
        <w:rPr>
          <w:sz w:val="24"/>
          <w:szCs w:val="24"/>
        </w:rPr>
        <w:t>,</w:t>
      </w:r>
      <w:r w:rsidR="00C674C4">
        <w:rPr>
          <w:sz w:val="24"/>
          <w:szCs w:val="24"/>
        </w:rPr>
        <w:t xml:space="preserve"> and this would confound </w:t>
      </w:r>
      <w:r w:rsidR="00317CE3">
        <w:rPr>
          <w:sz w:val="24"/>
          <w:szCs w:val="24"/>
        </w:rPr>
        <w:t>the</w:t>
      </w:r>
      <w:r w:rsidR="00C674C4">
        <w:rPr>
          <w:sz w:val="24"/>
          <w:szCs w:val="24"/>
        </w:rPr>
        <w:t xml:space="preserve"> estimates with strategic behavior. </w:t>
      </w:r>
    </w:p>
    <w:p w14:paraId="0F6FC3D2" w14:textId="38819BCD" w:rsidR="00B9684C" w:rsidRPr="009B7FE7" w:rsidRDefault="00317CE3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44C">
        <w:rPr>
          <w:sz w:val="24"/>
          <w:szCs w:val="24"/>
        </w:rPr>
        <w:t xml:space="preserve">USPTO </w:t>
      </w:r>
      <w:r w:rsidR="00C674C4">
        <w:rPr>
          <w:sz w:val="24"/>
          <w:szCs w:val="24"/>
        </w:rPr>
        <w:t>estimated</w:t>
      </w:r>
      <w:r w:rsidR="00B9684C" w:rsidRPr="009B7FE7">
        <w:rPr>
          <w:sz w:val="24"/>
          <w:szCs w:val="24"/>
        </w:rPr>
        <w:t xml:space="preserve"> </w:t>
      </w:r>
      <w:r w:rsidR="001533DC">
        <w:rPr>
          <w:sz w:val="24"/>
          <w:szCs w:val="24"/>
        </w:rPr>
        <w:t xml:space="preserve">three </w:t>
      </w:r>
      <w:r w:rsidR="00B9684C" w:rsidRPr="009B7FE7">
        <w:rPr>
          <w:sz w:val="24"/>
          <w:szCs w:val="24"/>
        </w:rPr>
        <w:t>linear probability model</w:t>
      </w:r>
      <w:r w:rsidR="001533DC">
        <w:rPr>
          <w:sz w:val="24"/>
          <w:szCs w:val="24"/>
        </w:rPr>
        <w:t xml:space="preserve">s, one for each </w:t>
      </w:r>
      <w:r w:rsidR="00C674C4">
        <w:rPr>
          <w:sz w:val="24"/>
          <w:szCs w:val="24"/>
        </w:rPr>
        <w:t xml:space="preserve">decision to pay excess </w:t>
      </w:r>
      <w:r w:rsidR="001533DC">
        <w:rPr>
          <w:sz w:val="24"/>
          <w:szCs w:val="24"/>
        </w:rPr>
        <w:t xml:space="preserve">independent </w:t>
      </w:r>
      <w:r w:rsidR="00C674C4">
        <w:rPr>
          <w:sz w:val="24"/>
          <w:szCs w:val="24"/>
        </w:rPr>
        <w:t>claim</w:t>
      </w:r>
      <w:r w:rsidR="001533DC">
        <w:rPr>
          <w:sz w:val="24"/>
          <w:szCs w:val="24"/>
        </w:rPr>
        <w:t xml:space="preserve"> fee</w:t>
      </w:r>
      <w:r w:rsidR="00C674C4">
        <w:rPr>
          <w:sz w:val="24"/>
          <w:szCs w:val="24"/>
        </w:rPr>
        <w:t>s</w:t>
      </w:r>
      <w:r w:rsidR="001533DC">
        <w:rPr>
          <w:sz w:val="24"/>
          <w:szCs w:val="24"/>
        </w:rPr>
        <w:t>, excess total claims fees</w:t>
      </w:r>
      <w:r w:rsidR="0072240E">
        <w:rPr>
          <w:sz w:val="24"/>
          <w:szCs w:val="24"/>
        </w:rPr>
        <w:t>,</w:t>
      </w:r>
      <w:r w:rsidR="001533DC">
        <w:rPr>
          <w:sz w:val="24"/>
          <w:szCs w:val="24"/>
        </w:rPr>
        <w:t xml:space="preserve"> and </w:t>
      </w:r>
      <w:r w:rsidR="00055041">
        <w:rPr>
          <w:sz w:val="24"/>
          <w:szCs w:val="24"/>
        </w:rPr>
        <w:t>application size (</w:t>
      </w:r>
      <w:r w:rsidR="00C674C4">
        <w:rPr>
          <w:sz w:val="24"/>
          <w:szCs w:val="24"/>
        </w:rPr>
        <w:t>excess page</w:t>
      </w:r>
      <w:r w:rsidR="00055041">
        <w:rPr>
          <w:sz w:val="24"/>
          <w:szCs w:val="24"/>
        </w:rPr>
        <w:t>)</w:t>
      </w:r>
      <w:r w:rsidR="00C674C4">
        <w:rPr>
          <w:sz w:val="24"/>
          <w:szCs w:val="24"/>
        </w:rPr>
        <w:t xml:space="preserve"> fees</w:t>
      </w:r>
      <w:r w:rsidR="001533DC">
        <w:rPr>
          <w:sz w:val="24"/>
          <w:szCs w:val="24"/>
        </w:rPr>
        <w:t xml:space="preserve">. The model is </w:t>
      </w:r>
      <w:r w:rsidR="00B9684C" w:rsidRPr="009B7FE7">
        <w:rPr>
          <w:sz w:val="24"/>
          <w:szCs w:val="24"/>
        </w:rPr>
        <w:t>expressed as:</w:t>
      </w:r>
    </w:p>
    <w:p w14:paraId="4DB7F98C" w14:textId="5F08EB03" w:rsidR="00B9684C" w:rsidRPr="00C674C4" w:rsidRDefault="00FC16F5" w:rsidP="00D5004D">
      <w:pPr>
        <w:tabs>
          <w:tab w:val="left" w:pos="1260"/>
        </w:tabs>
        <w:spacing w:before="120"/>
        <w:ind w:left="144" w:right="144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FeePaid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Tech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Small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14:paraId="7DACC99A" w14:textId="77777777" w:rsidR="00C674C4" w:rsidRPr="009B7FE7" w:rsidRDefault="00C674C4" w:rsidP="00D5004D">
      <w:pPr>
        <w:tabs>
          <w:tab w:val="left" w:pos="1260"/>
        </w:tabs>
        <w:spacing w:before="120"/>
        <w:ind w:left="144" w:right="144"/>
        <w:rPr>
          <w:sz w:val="24"/>
          <w:szCs w:val="24"/>
        </w:rPr>
      </w:pPr>
    </w:p>
    <w:p w14:paraId="62CCB000" w14:textId="2A1E0715" w:rsidR="004B188E" w:rsidRPr="009B7FE7" w:rsidRDefault="007D73A6" w:rsidP="00D5004D">
      <w:pPr>
        <w:pStyle w:val="BodyText"/>
        <w:spacing w:before="120" w:line="480" w:lineRule="auto"/>
        <w:ind w:left="144" w:right="144"/>
      </w:pPr>
      <w:r>
        <w:rPr>
          <w:lang w:eastAsia="ja-JP"/>
        </w:rPr>
        <w:t>w</w:t>
      </w:r>
      <w:r w:rsidRPr="009B7FE7">
        <w:rPr>
          <w:lang w:eastAsia="ja-JP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FeePaid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83FC9">
        <w:t xml:space="preserve"> is equal to </w:t>
      </w:r>
      <w:r w:rsidR="00850325">
        <w:t xml:space="preserve">1 </w:t>
      </w:r>
      <w:r w:rsidR="00883FC9">
        <w:t xml:space="preserve">if the applicant paid the </w:t>
      </w:r>
      <w:r w:rsidR="00BD443D">
        <w:t xml:space="preserve">respective </w:t>
      </w:r>
      <w:r w:rsidR="00883FC9">
        <w:t xml:space="preserve">excess fee </w:t>
      </w:r>
      <w:r w:rsidR="001533DC">
        <w:t>(</w:t>
      </w:r>
      <w:r w:rsidR="00BD443D">
        <w:t>i.e.</w:t>
      </w:r>
      <w:r w:rsidR="009A4186">
        <w:t>,</w:t>
      </w:r>
      <w:r w:rsidR="00BD443D">
        <w:t xml:space="preserve"> for </w:t>
      </w:r>
      <w:r w:rsidR="001533DC">
        <w:t>independent, total</w:t>
      </w:r>
      <w:r w:rsidR="0072240E">
        <w:t>,</w:t>
      </w:r>
      <w:r w:rsidR="00B3340D">
        <w:t xml:space="preserve"> </w:t>
      </w:r>
      <w:r w:rsidR="001533DC">
        <w:t xml:space="preserve">or </w:t>
      </w:r>
      <w:r w:rsidR="00055041">
        <w:t>size (</w:t>
      </w:r>
      <w:r w:rsidR="001533DC">
        <w:t>page</w:t>
      </w:r>
      <w:r w:rsidR="00055041">
        <w:t>)</w:t>
      </w:r>
      <w:r w:rsidR="001533DC">
        <w:t xml:space="preserve">) </w:t>
      </w:r>
      <w:r w:rsidR="00883FC9">
        <w:t xml:space="preserve">and </w:t>
      </w:r>
      <w:r w:rsidR="00850325">
        <w:t>0</w:t>
      </w:r>
      <w:r w:rsidR="00850325" w:rsidRPr="009B7FE7">
        <w:rPr>
          <w:lang w:eastAsia="ja-JP"/>
        </w:rPr>
        <w:t xml:space="preserve"> </w:t>
      </w:r>
      <w:r w:rsidR="00B9684C" w:rsidRPr="009B7FE7">
        <w:rPr>
          <w:lang w:eastAsia="ja-JP"/>
        </w:rPr>
        <w:t xml:space="preserve">otherwise.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Post</m:t>
            </m:r>
          </m:e>
          <m:sub>
            <m:r>
              <w:rPr>
                <w:rFonts w:ascii="Cambria Math" w:hAnsi="Cambria Math"/>
                <w:lang w:eastAsia="ja-JP"/>
              </w:rPr>
              <m:t>i</m:t>
            </m:r>
          </m:sub>
        </m:sSub>
      </m:oMath>
      <w:r w:rsidR="00883FC9">
        <w:rPr>
          <w:lang w:eastAsia="ja-JP"/>
        </w:rPr>
        <w:t xml:space="preserve"> is a variable indicating whether the patent application was filed before the 2011 fee change (tak</w:t>
      </w:r>
      <w:r w:rsidR="007F6C65">
        <w:rPr>
          <w:lang w:eastAsia="ja-JP"/>
        </w:rPr>
        <w:t>ing</w:t>
      </w:r>
      <w:r w:rsidR="00883FC9">
        <w:rPr>
          <w:lang w:eastAsia="ja-JP"/>
        </w:rPr>
        <w:t xml:space="preserve"> a value of 0) or after the fee change (tak</w:t>
      </w:r>
      <w:r w:rsidR="007F6C65">
        <w:rPr>
          <w:lang w:eastAsia="ja-JP"/>
        </w:rPr>
        <w:t>ing</w:t>
      </w:r>
      <w:r w:rsidR="00883FC9">
        <w:rPr>
          <w:lang w:eastAsia="ja-JP"/>
        </w:rPr>
        <w:t xml:space="preserve"> a value of 1). The specification also accounts for technology and entity size. </w:t>
      </w:r>
      <w:r w:rsidR="001533DC">
        <w:rPr>
          <w:lang w:eastAsia="ja-JP"/>
        </w:rPr>
        <w:t xml:space="preserve">Based on this model, the quantity response to the fee change can be approximated using the percentage change in the predicted values. The percentage change in </w:t>
      </w:r>
      <w:r w:rsidR="007F6C65">
        <w:rPr>
          <w:lang w:eastAsia="ja-JP"/>
        </w:rPr>
        <w:t xml:space="preserve">each </w:t>
      </w:r>
      <w:r w:rsidR="001533DC">
        <w:rPr>
          <w:lang w:eastAsia="ja-JP"/>
        </w:rPr>
        <w:t>fee</w:t>
      </w:r>
      <w:r w:rsidR="007F6C65">
        <w:rPr>
          <w:lang w:eastAsia="ja-JP"/>
        </w:rPr>
        <w:t xml:space="preserve"> type wa</w:t>
      </w:r>
      <w:r w:rsidR="001533DC">
        <w:rPr>
          <w:lang w:eastAsia="ja-JP"/>
        </w:rPr>
        <w:t>s</w:t>
      </w:r>
      <w:r w:rsidR="007F6C65">
        <w:rPr>
          <w:lang w:eastAsia="ja-JP"/>
        </w:rPr>
        <w:t xml:space="preserve"> calculated based on the 2011 fee change.</w:t>
      </w:r>
      <w:r w:rsidR="00F1015E">
        <w:rPr>
          <w:rStyle w:val="FootnoteReference"/>
          <w:lang w:eastAsia="ja-JP"/>
        </w:rPr>
        <w:footnoteReference w:id="2"/>
      </w:r>
      <w:r w:rsidR="007F6C65">
        <w:rPr>
          <w:lang w:eastAsia="ja-JP"/>
        </w:rPr>
        <w:t xml:space="preserve"> </w:t>
      </w:r>
      <w:r w:rsidR="00E64092">
        <w:rPr>
          <w:lang w:eastAsia="ja-JP"/>
        </w:rPr>
        <w:t>A</w:t>
      </w:r>
      <w:r w:rsidR="007F6C65">
        <w:rPr>
          <w:lang w:eastAsia="ja-JP"/>
        </w:rPr>
        <w:t xml:space="preserve"> bootstrapping</w:t>
      </w:r>
      <w:r w:rsidR="009D7574" w:rsidRPr="009D7574">
        <w:rPr>
          <w:lang w:eastAsia="ja-JP"/>
        </w:rPr>
        <w:t xml:space="preserve"> method </w:t>
      </w:r>
      <w:r w:rsidR="00E64092">
        <w:rPr>
          <w:lang w:eastAsia="ja-JP"/>
        </w:rPr>
        <w:t xml:space="preserve">was used </w:t>
      </w:r>
      <w:r w:rsidR="009D7574" w:rsidRPr="009D7574">
        <w:rPr>
          <w:lang w:eastAsia="ja-JP"/>
        </w:rPr>
        <w:t xml:space="preserve">to estimate the appropriate confidence intervals. </w:t>
      </w:r>
    </w:p>
    <w:p w14:paraId="07E3F255" w14:textId="2ABD1753" w:rsidR="00873495" w:rsidRPr="009B7FE7" w:rsidRDefault="007F6C65" w:rsidP="00D5004D">
      <w:pPr>
        <w:pStyle w:val="BodyText"/>
        <w:spacing w:before="120" w:line="480" w:lineRule="auto"/>
        <w:ind w:left="144" w:right="144" w:firstLine="576"/>
      </w:pPr>
      <w:r>
        <w:t xml:space="preserve">As shown in Table 1, the </w:t>
      </w:r>
      <w:r w:rsidR="00967224" w:rsidRPr="009B7FE7">
        <w:t>result for the excess independent claim fee</w:t>
      </w:r>
      <w:r>
        <w:t>s</w:t>
      </w:r>
      <w:r w:rsidR="00967224" w:rsidRPr="009B7FE7">
        <w:t xml:space="preserve"> indicates an elasticity of -0.62, which means that </w:t>
      </w:r>
      <w:r w:rsidR="00E64092">
        <w:t xml:space="preserve">the </w:t>
      </w:r>
      <w:r w:rsidR="0009544C">
        <w:t>USPTO</w:t>
      </w:r>
      <w:r w:rsidR="0009544C" w:rsidRPr="009B7FE7">
        <w:t xml:space="preserve"> </w:t>
      </w:r>
      <w:r w:rsidR="00967224" w:rsidRPr="009B7FE7">
        <w:t>would expect a 10</w:t>
      </w:r>
      <w:r w:rsidR="0009544C">
        <w:t xml:space="preserve"> percent</w:t>
      </w:r>
      <w:r w:rsidR="00177849" w:rsidRPr="009B7FE7">
        <w:t xml:space="preserve"> </w:t>
      </w:r>
      <w:r w:rsidR="00967224" w:rsidRPr="009B7FE7">
        <w:t>increase in the fee to lead to a 6.2</w:t>
      </w:r>
      <w:r w:rsidR="0009544C">
        <w:t xml:space="preserve"> percent</w:t>
      </w:r>
      <w:r w:rsidR="00177849">
        <w:t xml:space="preserve"> </w:t>
      </w:r>
      <w:r w:rsidR="00967224" w:rsidRPr="009B7FE7">
        <w:t xml:space="preserve">decrease in the </w:t>
      </w:r>
      <w:r w:rsidR="00516035">
        <w:t xml:space="preserve">number of times stakeholders would choose to include </w:t>
      </w:r>
      <w:r w:rsidR="00967224" w:rsidRPr="009B7FE7">
        <w:t>excess independent claims</w:t>
      </w:r>
      <w:r w:rsidR="00516035">
        <w:t xml:space="preserve"> in their applications</w:t>
      </w:r>
      <w:r w:rsidR="00967224" w:rsidRPr="009B7FE7">
        <w:t>. The 95</w:t>
      </w:r>
      <w:r w:rsidR="0009544C">
        <w:t xml:space="preserve"> percent</w:t>
      </w:r>
      <w:r w:rsidR="00967224" w:rsidRPr="009B7FE7">
        <w:t xml:space="preserve"> confidence interval for this elasticity ranges from -0.79 to -</w:t>
      </w:r>
      <w:r w:rsidR="00C3671D">
        <w:t>0</w:t>
      </w:r>
      <w:r w:rsidR="00967224" w:rsidRPr="009B7FE7">
        <w:t>.44.</w:t>
      </w:r>
      <w:r w:rsidR="00A401F3" w:rsidRPr="009B7FE7">
        <w:t xml:space="preserve"> </w:t>
      </w:r>
      <w:r w:rsidR="00E64092">
        <w:t>The</w:t>
      </w:r>
      <w:r w:rsidR="00A401F3" w:rsidRPr="009B7FE7">
        <w:t xml:space="preserve"> result for the excess </w:t>
      </w:r>
      <w:r w:rsidR="009A4186">
        <w:t>total</w:t>
      </w:r>
      <w:r w:rsidR="00A401F3" w:rsidRPr="009B7FE7">
        <w:t xml:space="preserve"> claim fee </w:t>
      </w:r>
      <w:r w:rsidR="00516035">
        <w:t xml:space="preserve">is </w:t>
      </w:r>
      <w:r w:rsidR="00A401F3" w:rsidRPr="009B7FE7">
        <w:t>an elasticity of -0.23 with a 95</w:t>
      </w:r>
      <w:r w:rsidR="0009544C">
        <w:t xml:space="preserve"> percent</w:t>
      </w:r>
      <w:r w:rsidR="00A401F3" w:rsidRPr="009B7FE7">
        <w:t xml:space="preserve"> confidence interval that ranges from -0.35 to -0.11. Finally, the estimated elasticity for </w:t>
      </w:r>
      <w:r w:rsidR="00055041">
        <w:t>application size (</w:t>
      </w:r>
      <w:r w:rsidR="00A401F3" w:rsidRPr="009B7FE7">
        <w:t>excess pages</w:t>
      </w:r>
      <w:r w:rsidR="00055041">
        <w:t>)</w:t>
      </w:r>
      <w:r w:rsidR="00A401F3" w:rsidRPr="009B7FE7">
        <w:t xml:space="preserve"> is -0.54 with a 95</w:t>
      </w:r>
      <w:r w:rsidR="0009544C">
        <w:t xml:space="preserve"> percent</w:t>
      </w:r>
      <w:r w:rsidR="00A401F3" w:rsidRPr="009B7FE7">
        <w:t xml:space="preserve"> confidence interval that ranges from -0.95 to -0.14</w:t>
      </w:r>
      <w:r w:rsidR="00DF221E">
        <w:t>, which is a wider confidence interval than other estimates in this analysis due to the relatively larger variations in the data series.</w:t>
      </w:r>
    </w:p>
    <w:p w14:paraId="4ED44EF7" w14:textId="05153BA2" w:rsidR="005B5607" w:rsidRPr="0099688E" w:rsidRDefault="005B5607" w:rsidP="00D5004D">
      <w:pPr>
        <w:pStyle w:val="BodyText"/>
        <w:spacing w:before="120" w:line="480" w:lineRule="auto"/>
        <w:ind w:left="144" w:right="144"/>
        <w:rPr>
          <w:b/>
        </w:rPr>
      </w:pPr>
      <w:r w:rsidRPr="0099688E">
        <w:rPr>
          <w:b/>
        </w:rPr>
        <w:lastRenderedPageBreak/>
        <w:t>Issue Fees</w:t>
      </w:r>
    </w:p>
    <w:p w14:paraId="41E63A63" w14:textId="401D28D7" w:rsidR="009374D3" w:rsidRPr="009B7FE7" w:rsidRDefault="00550FFE" w:rsidP="00D5004D">
      <w:pPr>
        <w:pStyle w:val="BodyText"/>
        <w:spacing w:before="120" w:line="480" w:lineRule="auto"/>
        <w:ind w:left="144" w:right="144" w:firstLine="576"/>
      </w:pPr>
      <w:r>
        <w:t xml:space="preserve">Following a </w:t>
      </w:r>
      <w:r w:rsidR="00055041">
        <w:t>n</w:t>
      </w:r>
      <w:r>
        <w:t xml:space="preserve">otice of </w:t>
      </w:r>
      <w:r w:rsidR="00055041">
        <w:t>a</w:t>
      </w:r>
      <w:r>
        <w:t xml:space="preserve">llowance, stakeholders are required to pay an issue fee before the patent becomes a granted legal right. Having reached an allowance, </w:t>
      </w:r>
      <w:r w:rsidR="000955A6">
        <w:t>historical patent data indicate</w:t>
      </w:r>
      <w:r w:rsidR="0072240E">
        <w:t>s</w:t>
      </w:r>
      <w:r w:rsidR="000955A6">
        <w:t xml:space="preserve"> that </w:t>
      </w:r>
      <w:r w:rsidR="00FB4A12">
        <w:t xml:space="preserve">most stakeholders choose to pay the issue fee. This suggests that stakeholders </w:t>
      </w:r>
      <w:r w:rsidR="000955A6">
        <w:t xml:space="preserve">are likely to </w:t>
      </w:r>
      <w:r w:rsidR="00FB4A12">
        <w:t>be insensitive to issue fee changes (</w:t>
      </w:r>
      <w:r w:rsidR="000955A6">
        <w:t>i.e.</w:t>
      </w:r>
      <w:r w:rsidR="009A4186">
        <w:t>,</w:t>
      </w:r>
      <w:r w:rsidR="000955A6">
        <w:t xml:space="preserve"> </w:t>
      </w:r>
      <w:r w:rsidR="009A4186">
        <w:t>demand is</w:t>
      </w:r>
      <w:r w:rsidR="000955A6">
        <w:t xml:space="preserve"> i</w:t>
      </w:r>
      <w:r w:rsidR="00FB4A12">
        <w:t>nelastic).</w:t>
      </w:r>
    </w:p>
    <w:p w14:paraId="47E8B8EB" w14:textId="3AA86223" w:rsidR="001B7807" w:rsidRDefault="00FB4A12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E64092">
        <w:rPr>
          <w:sz w:val="24"/>
          <w:szCs w:val="24"/>
        </w:rPr>
        <w:t>The</w:t>
      </w:r>
      <w:r w:rsidR="00CF283B">
        <w:rPr>
          <w:sz w:val="24"/>
          <w:szCs w:val="24"/>
        </w:rPr>
        <w:t xml:space="preserve"> approach </w:t>
      </w:r>
      <w:r w:rsidR="00E64092">
        <w:rPr>
          <w:sz w:val="24"/>
          <w:szCs w:val="24"/>
        </w:rPr>
        <w:t xml:space="preserve">used </w:t>
      </w:r>
      <w:r w:rsidR="00CF283B">
        <w:rPr>
          <w:sz w:val="24"/>
          <w:szCs w:val="24"/>
        </w:rPr>
        <w:t xml:space="preserve">for estimating the issue fee elasticity was very similar to the approach discussed in the last section for excess claim and </w:t>
      </w:r>
      <w:r w:rsidR="00055041">
        <w:rPr>
          <w:sz w:val="24"/>
          <w:szCs w:val="24"/>
        </w:rPr>
        <w:t>application size (</w:t>
      </w:r>
      <w:r w:rsidR="00CF283B">
        <w:rPr>
          <w:sz w:val="24"/>
          <w:szCs w:val="24"/>
        </w:rPr>
        <w:t>page</w:t>
      </w:r>
      <w:r w:rsidR="00055041">
        <w:rPr>
          <w:sz w:val="24"/>
          <w:szCs w:val="24"/>
        </w:rPr>
        <w:t>)</w:t>
      </w:r>
      <w:r w:rsidR="00CF283B">
        <w:rPr>
          <w:sz w:val="24"/>
          <w:szCs w:val="24"/>
        </w:rPr>
        <w:t xml:space="preserve"> fees. </w:t>
      </w:r>
      <w:r w:rsidR="00262FA3">
        <w:rPr>
          <w:sz w:val="24"/>
          <w:szCs w:val="24"/>
        </w:rPr>
        <w:t xml:space="preserve">In this case, </w:t>
      </w:r>
      <w:r w:rsidR="006D4322">
        <w:rPr>
          <w:sz w:val="24"/>
          <w:szCs w:val="24"/>
        </w:rPr>
        <w:t>t</w:t>
      </w:r>
      <w:r w:rsidR="00E64092">
        <w:rPr>
          <w:sz w:val="24"/>
          <w:szCs w:val="24"/>
        </w:rPr>
        <w:t xml:space="preserve">he </w:t>
      </w:r>
      <w:r w:rsidR="0009544C">
        <w:rPr>
          <w:sz w:val="24"/>
          <w:szCs w:val="24"/>
        </w:rPr>
        <w:t>USPTO</w:t>
      </w:r>
      <w:r w:rsidR="0009544C" w:rsidRPr="00E07585">
        <w:rPr>
          <w:sz w:val="24"/>
          <w:szCs w:val="24"/>
        </w:rPr>
        <w:t xml:space="preserve"> </w:t>
      </w:r>
      <w:r w:rsidR="00262FA3">
        <w:rPr>
          <w:sz w:val="24"/>
          <w:szCs w:val="24"/>
        </w:rPr>
        <w:t xml:space="preserve">focused on </w:t>
      </w:r>
      <w:r w:rsidR="00E07585" w:rsidRPr="00E07585">
        <w:rPr>
          <w:sz w:val="24"/>
          <w:szCs w:val="24"/>
        </w:rPr>
        <w:t xml:space="preserve">stakeholder responses to the </w:t>
      </w:r>
      <w:r w:rsidR="00076476">
        <w:rPr>
          <w:sz w:val="24"/>
          <w:szCs w:val="24"/>
        </w:rPr>
        <w:t>2013 rule</w:t>
      </w:r>
      <w:r w:rsidR="0072240E">
        <w:rPr>
          <w:sz w:val="24"/>
          <w:szCs w:val="24"/>
        </w:rPr>
        <w:t>,</w:t>
      </w:r>
      <w:r w:rsidR="00076476">
        <w:rPr>
          <w:sz w:val="24"/>
          <w:szCs w:val="24"/>
        </w:rPr>
        <w:t xml:space="preserve"> </w:t>
      </w:r>
      <w:r w:rsidR="001F2555">
        <w:rPr>
          <w:sz w:val="24"/>
          <w:szCs w:val="24"/>
        </w:rPr>
        <w:t>Setting and Adjusting Patent Fees (78 Fed</w:t>
      </w:r>
      <w:r w:rsidR="00E13AC6">
        <w:rPr>
          <w:sz w:val="24"/>
          <w:szCs w:val="24"/>
        </w:rPr>
        <w:t>.</w:t>
      </w:r>
      <w:r w:rsidR="001F2555">
        <w:rPr>
          <w:sz w:val="24"/>
          <w:szCs w:val="24"/>
        </w:rPr>
        <w:t xml:space="preserve"> Reg</w:t>
      </w:r>
      <w:r w:rsidR="00E13AC6">
        <w:rPr>
          <w:sz w:val="24"/>
          <w:szCs w:val="24"/>
        </w:rPr>
        <w:t>.</w:t>
      </w:r>
      <w:r w:rsidR="001F2555">
        <w:rPr>
          <w:sz w:val="24"/>
          <w:szCs w:val="24"/>
        </w:rPr>
        <w:t xml:space="preserve"> 4212 </w:t>
      </w:r>
      <w:r w:rsidR="00E13AC6">
        <w:rPr>
          <w:sz w:val="24"/>
          <w:szCs w:val="24"/>
        </w:rPr>
        <w:t>(</w:t>
      </w:r>
      <w:r w:rsidR="001F2555">
        <w:rPr>
          <w:sz w:val="24"/>
          <w:szCs w:val="24"/>
        </w:rPr>
        <w:t>Jan</w:t>
      </w:r>
      <w:r w:rsidR="000D34A2">
        <w:rPr>
          <w:sz w:val="24"/>
          <w:szCs w:val="24"/>
        </w:rPr>
        <w:t>uary</w:t>
      </w:r>
      <w:r w:rsidR="001F2555">
        <w:rPr>
          <w:sz w:val="24"/>
          <w:szCs w:val="24"/>
        </w:rPr>
        <w:t xml:space="preserve"> 18</w:t>
      </w:r>
      <w:r w:rsidR="0072240E">
        <w:rPr>
          <w:sz w:val="24"/>
          <w:szCs w:val="24"/>
        </w:rPr>
        <w:t>,</w:t>
      </w:r>
      <w:r w:rsidR="001F2555">
        <w:rPr>
          <w:sz w:val="24"/>
          <w:szCs w:val="24"/>
        </w:rPr>
        <w:t xml:space="preserve"> 2013</w:t>
      </w:r>
      <w:r w:rsidR="00E13AC6">
        <w:rPr>
          <w:sz w:val="24"/>
          <w:szCs w:val="24"/>
        </w:rPr>
        <w:t>)</w:t>
      </w:r>
      <w:r w:rsidR="001F2555">
        <w:rPr>
          <w:sz w:val="24"/>
          <w:szCs w:val="24"/>
        </w:rPr>
        <w:t>)</w:t>
      </w:r>
      <w:r w:rsidR="0072240E">
        <w:rPr>
          <w:sz w:val="24"/>
          <w:szCs w:val="24"/>
        </w:rPr>
        <w:t>,</w:t>
      </w:r>
      <w:r w:rsidR="005458C5">
        <w:rPr>
          <w:sz w:val="24"/>
          <w:szCs w:val="24"/>
        </w:rPr>
        <w:t xml:space="preserve"> with issue fee change ($1,770 to $960) effective January 2014</w:t>
      </w:r>
      <w:r w:rsidR="003D5C28">
        <w:rPr>
          <w:sz w:val="24"/>
          <w:szCs w:val="24"/>
        </w:rPr>
        <w:t>.</w:t>
      </w:r>
      <w:r w:rsidR="001B7807" w:rsidRPr="001B7807">
        <w:rPr>
          <w:sz w:val="24"/>
          <w:szCs w:val="24"/>
        </w:rPr>
        <w:t xml:space="preserve"> The data consists of all applications with a first allowance recorded within three months before or three months after the issue fee change. </w:t>
      </w:r>
      <w:r w:rsidR="009078DD">
        <w:rPr>
          <w:sz w:val="24"/>
          <w:szCs w:val="24"/>
        </w:rPr>
        <w:t>The model has the same form as</w:t>
      </w:r>
      <w:r w:rsidR="0072240E">
        <w:rPr>
          <w:sz w:val="24"/>
          <w:szCs w:val="24"/>
        </w:rPr>
        <w:t xml:space="preserve"> that</w:t>
      </w:r>
      <w:r w:rsidR="009078DD">
        <w:rPr>
          <w:sz w:val="24"/>
          <w:szCs w:val="24"/>
        </w:rPr>
        <w:t xml:space="preserve"> </w:t>
      </w:r>
      <w:r w:rsidR="00C3671D">
        <w:rPr>
          <w:sz w:val="24"/>
          <w:szCs w:val="24"/>
        </w:rPr>
        <w:t xml:space="preserve">in </w:t>
      </w:r>
      <w:r w:rsidR="009078DD">
        <w:rPr>
          <w:sz w:val="24"/>
          <w:szCs w:val="24"/>
        </w:rPr>
        <w:t>the last section except for the addition of time dummy variables to account for common filing year influences. The linear probability model is expressed as:</w:t>
      </w:r>
    </w:p>
    <w:p w14:paraId="4A2A5910" w14:textId="4821B98D" w:rsidR="003D5C28" w:rsidRDefault="00FC16F5" w:rsidP="00D5004D">
      <w:pPr>
        <w:spacing w:before="120" w:line="480" w:lineRule="auto"/>
        <w:ind w:left="144" w:right="144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FeePaid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Tech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Small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FilingYr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14:paraId="0E9B788F" w14:textId="4F5D394E" w:rsidR="00675FF1" w:rsidRPr="009B7FE7" w:rsidRDefault="00FC16F5" w:rsidP="00D5004D">
      <w:pPr>
        <w:spacing w:before="120" w:line="480" w:lineRule="auto"/>
        <w:ind w:left="144" w:right="14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Post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F283B" w:rsidRPr="009078DD">
        <w:rPr>
          <w:sz w:val="24"/>
          <w:szCs w:val="24"/>
        </w:rPr>
        <w:t xml:space="preserve"> is a variable indicating whether the patent </w:t>
      </w:r>
      <w:r w:rsidR="009078DD" w:rsidRPr="009078DD">
        <w:rPr>
          <w:sz w:val="24"/>
          <w:szCs w:val="24"/>
        </w:rPr>
        <w:t xml:space="preserve">allowance took place </w:t>
      </w:r>
      <w:r w:rsidR="00CF283B" w:rsidRPr="009078DD">
        <w:rPr>
          <w:sz w:val="24"/>
          <w:szCs w:val="24"/>
        </w:rPr>
        <w:t>before the 201</w:t>
      </w:r>
      <w:r w:rsidR="009078DD" w:rsidRPr="009078DD">
        <w:rPr>
          <w:sz w:val="24"/>
          <w:szCs w:val="24"/>
        </w:rPr>
        <w:t>4</w:t>
      </w:r>
      <w:r w:rsidR="00CF283B" w:rsidRPr="009078DD">
        <w:rPr>
          <w:sz w:val="24"/>
          <w:szCs w:val="24"/>
        </w:rPr>
        <w:t xml:space="preserve"> </w:t>
      </w:r>
      <w:r w:rsidR="009078DD" w:rsidRPr="009078DD">
        <w:rPr>
          <w:sz w:val="24"/>
          <w:szCs w:val="24"/>
        </w:rPr>
        <w:t xml:space="preserve">issue </w:t>
      </w:r>
      <w:r w:rsidR="00CF283B" w:rsidRPr="009078DD">
        <w:rPr>
          <w:sz w:val="24"/>
          <w:szCs w:val="24"/>
        </w:rPr>
        <w:t xml:space="preserve">fee change (taking a value of 0) or after the fee change (taking a value of 1). </w:t>
      </w:r>
      <w:r w:rsidR="009078DD" w:rsidRPr="009078DD">
        <w:rPr>
          <w:sz w:val="24"/>
          <w:szCs w:val="24"/>
        </w:rPr>
        <w:t xml:space="preserve">The issue fee for large entities was used </w:t>
      </w:r>
      <w:r w:rsidR="00F634A8">
        <w:rPr>
          <w:sz w:val="24"/>
          <w:szCs w:val="24"/>
        </w:rPr>
        <w:t xml:space="preserve">as the basis for </w:t>
      </w:r>
      <w:r w:rsidR="009078DD" w:rsidRPr="009078DD">
        <w:rPr>
          <w:sz w:val="24"/>
          <w:szCs w:val="24"/>
        </w:rPr>
        <w:t>calculat</w:t>
      </w:r>
      <w:r w:rsidR="00F634A8">
        <w:rPr>
          <w:sz w:val="24"/>
          <w:szCs w:val="24"/>
        </w:rPr>
        <w:t>ing</w:t>
      </w:r>
      <w:r w:rsidR="009078DD" w:rsidRPr="009078DD">
        <w:rPr>
          <w:sz w:val="24"/>
          <w:szCs w:val="24"/>
        </w:rPr>
        <w:t xml:space="preserve"> the percentage change in 2014 issue fees</w:t>
      </w:r>
      <w:r w:rsidR="0072240E">
        <w:rPr>
          <w:sz w:val="24"/>
          <w:szCs w:val="24"/>
        </w:rPr>
        <w:t>,</w:t>
      </w:r>
      <w:r w:rsidR="009078DD" w:rsidRPr="009078DD">
        <w:rPr>
          <w:sz w:val="24"/>
          <w:szCs w:val="24"/>
        </w:rPr>
        <w:t xml:space="preserve"> and a </w:t>
      </w:r>
      <w:r w:rsidR="00CF283B" w:rsidRPr="009078DD">
        <w:rPr>
          <w:sz w:val="24"/>
          <w:szCs w:val="24"/>
        </w:rPr>
        <w:t xml:space="preserve">bootstrapping method </w:t>
      </w:r>
      <w:r w:rsidR="00F634A8">
        <w:rPr>
          <w:sz w:val="24"/>
          <w:szCs w:val="24"/>
        </w:rPr>
        <w:t xml:space="preserve">provided </w:t>
      </w:r>
      <w:r w:rsidR="00CF283B" w:rsidRPr="009078DD">
        <w:rPr>
          <w:sz w:val="24"/>
          <w:szCs w:val="24"/>
        </w:rPr>
        <w:t>appropriate confidence intervals.</w:t>
      </w:r>
      <w:r w:rsidR="00CF283B" w:rsidRPr="00CF283B">
        <w:rPr>
          <w:sz w:val="24"/>
          <w:szCs w:val="24"/>
        </w:rPr>
        <w:t xml:space="preserve"> </w:t>
      </w:r>
      <w:r w:rsidR="00F634A8">
        <w:rPr>
          <w:sz w:val="24"/>
          <w:szCs w:val="24"/>
        </w:rPr>
        <w:t xml:space="preserve">The elasticity estimate indicates that stakeholders are very insensitive to issue fee changes. The value of </w:t>
      </w:r>
      <w:r w:rsidR="00675FF1" w:rsidRPr="009B7FE7">
        <w:rPr>
          <w:sz w:val="24"/>
          <w:szCs w:val="24"/>
        </w:rPr>
        <w:t>-0.006 is very close to zero</w:t>
      </w:r>
      <w:r w:rsidR="00FE4109" w:rsidRPr="009B7FE7">
        <w:rPr>
          <w:sz w:val="24"/>
          <w:szCs w:val="24"/>
        </w:rPr>
        <w:t xml:space="preserve"> (</w:t>
      </w:r>
      <w:r w:rsidR="00FE4109" w:rsidRPr="0099688E">
        <w:rPr>
          <w:i/>
          <w:sz w:val="24"/>
          <w:szCs w:val="24"/>
        </w:rPr>
        <w:t>see</w:t>
      </w:r>
      <w:r w:rsidR="00FE4109" w:rsidRPr="009B7FE7">
        <w:rPr>
          <w:sz w:val="24"/>
          <w:szCs w:val="24"/>
        </w:rPr>
        <w:t xml:space="preserve"> Table 1)</w:t>
      </w:r>
      <w:r w:rsidR="00675FF1" w:rsidRPr="009B7FE7">
        <w:rPr>
          <w:sz w:val="24"/>
          <w:szCs w:val="24"/>
        </w:rPr>
        <w:t xml:space="preserve">. </w:t>
      </w:r>
      <w:r w:rsidR="00F634A8">
        <w:rPr>
          <w:sz w:val="24"/>
          <w:szCs w:val="24"/>
        </w:rPr>
        <w:t>It is st</w:t>
      </w:r>
      <w:r w:rsidR="00675FF1" w:rsidRPr="009B7FE7">
        <w:rPr>
          <w:sz w:val="24"/>
          <w:szCs w:val="24"/>
        </w:rPr>
        <w:t>atistically significant</w:t>
      </w:r>
      <w:r w:rsidR="0072240E">
        <w:rPr>
          <w:sz w:val="24"/>
          <w:szCs w:val="24"/>
        </w:rPr>
        <w:t>,</w:t>
      </w:r>
      <w:r w:rsidR="00675FF1" w:rsidRPr="009B7FE7">
        <w:rPr>
          <w:sz w:val="24"/>
          <w:szCs w:val="24"/>
        </w:rPr>
        <w:t xml:space="preserve"> with a 95</w:t>
      </w:r>
      <w:r w:rsidR="0009544C">
        <w:rPr>
          <w:sz w:val="24"/>
          <w:szCs w:val="24"/>
        </w:rPr>
        <w:t xml:space="preserve"> percent</w:t>
      </w:r>
      <w:r w:rsidR="00675FF1" w:rsidRPr="009B7FE7">
        <w:rPr>
          <w:sz w:val="24"/>
          <w:szCs w:val="24"/>
        </w:rPr>
        <w:t xml:space="preserve"> confidence interval ranging</w:t>
      </w:r>
      <w:r w:rsidR="0072240E">
        <w:rPr>
          <w:sz w:val="24"/>
          <w:szCs w:val="24"/>
        </w:rPr>
        <w:t xml:space="preserve"> from</w:t>
      </w:r>
      <w:r w:rsidR="00675FF1" w:rsidRPr="009B7FE7">
        <w:rPr>
          <w:sz w:val="24"/>
          <w:szCs w:val="24"/>
        </w:rPr>
        <w:t xml:space="preserve"> -0.01 to -0.001.</w:t>
      </w:r>
    </w:p>
    <w:p w14:paraId="7D6CCFE6" w14:textId="6D49D43B" w:rsidR="00FE4109" w:rsidRPr="0099688E" w:rsidRDefault="00392DC0" w:rsidP="00D5004D">
      <w:pPr>
        <w:pStyle w:val="BodyText"/>
        <w:spacing w:before="120" w:line="480" w:lineRule="auto"/>
        <w:ind w:left="144" w:right="144"/>
        <w:rPr>
          <w:b/>
        </w:rPr>
      </w:pPr>
      <w:r w:rsidRPr="0099688E">
        <w:rPr>
          <w:b/>
        </w:rPr>
        <w:t xml:space="preserve">Request for Continued Examination (RCE) </w:t>
      </w:r>
      <w:r w:rsidR="00076476" w:rsidRPr="0099688E">
        <w:rPr>
          <w:b/>
        </w:rPr>
        <w:t>F</w:t>
      </w:r>
      <w:r w:rsidRPr="0099688E">
        <w:rPr>
          <w:b/>
        </w:rPr>
        <w:t>ees</w:t>
      </w:r>
    </w:p>
    <w:p w14:paraId="248D96EE" w14:textId="2A850009" w:rsidR="00537514" w:rsidRDefault="00BB27F4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624C38" w:rsidRPr="009B7FE7">
        <w:rPr>
          <w:sz w:val="24"/>
          <w:szCs w:val="24"/>
        </w:rPr>
        <w:t>To estimate the fee elasticity for RCE</w:t>
      </w:r>
      <w:r>
        <w:rPr>
          <w:sz w:val="24"/>
          <w:szCs w:val="24"/>
        </w:rPr>
        <w:t xml:space="preserve">s, </w:t>
      </w:r>
      <w:r w:rsidR="005458C5">
        <w:rPr>
          <w:sz w:val="24"/>
          <w:szCs w:val="24"/>
        </w:rPr>
        <w:t xml:space="preserve">the </w:t>
      </w:r>
      <w:r w:rsidR="0009544C">
        <w:rPr>
          <w:sz w:val="24"/>
          <w:szCs w:val="24"/>
        </w:rPr>
        <w:t xml:space="preserve">USPTO </w:t>
      </w:r>
      <w:r w:rsidR="005458C5">
        <w:rPr>
          <w:sz w:val="24"/>
          <w:szCs w:val="24"/>
        </w:rPr>
        <w:t>again</w:t>
      </w:r>
      <w:r>
        <w:rPr>
          <w:sz w:val="24"/>
          <w:szCs w:val="24"/>
        </w:rPr>
        <w:t xml:space="preserve"> focused on the </w:t>
      </w:r>
      <w:r w:rsidR="005458C5">
        <w:rPr>
          <w:sz w:val="24"/>
          <w:szCs w:val="24"/>
        </w:rPr>
        <w:t xml:space="preserve">2013 Setting and </w:t>
      </w:r>
      <w:r w:rsidR="005458C5">
        <w:rPr>
          <w:sz w:val="24"/>
          <w:szCs w:val="24"/>
        </w:rPr>
        <w:lastRenderedPageBreak/>
        <w:t xml:space="preserve">Adjusting </w:t>
      </w:r>
      <w:r w:rsidR="00076476">
        <w:rPr>
          <w:sz w:val="24"/>
          <w:szCs w:val="24"/>
        </w:rPr>
        <w:t>Patent Fees</w:t>
      </w:r>
      <w:r w:rsidR="006D4322">
        <w:rPr>
          <w:sz w:val="24"/>
          <w:szCs w:val="24"/>
        </w:rPr>
        <w:t xml:space="preserve"> rule</w:t>
      </w:r>
      <w:r w:rsidR="005458C5">
        <w:rPr>
          <w:sz w:val="24"/>
          <w:szCs w:val="24"/>
        </w:rPr>
        <w:t xml:space="preserve"> for the</w:t>
      </w:r>
      <w:r>
        <w:rPr>
          <w:sz w:val="24"/>
          <w:szCs w:val="24"/>
        </w:rPr>
        <w:t xml:space="preserve"> RCE fee change.</w:t>
      </w:r>
      <w:r w:rsidR="00494CAE">
        <w:rPr>
          <w:sz w:val="24"/>
          <w:szCs w:val="24"/>
        </w:rPr>
        <w:t xml:space="preserve"> </w:t>
      </w:r>
      <w:r w:rsidR="00624C38" w:rsidRPr="009B7FE7">
        <w:rPr>
          <w:sz w:val="24"/>
          <w:szCs w:val="24"/>
        </w:rPr>
        <w:t xml:space="preserve">In March of that year, </w:t>
      </w:r>
      <w:r w:rsidR="00076476">
        <w:rPr>
          <w:sz w:val="24"/>
          <w:szCs w:val="24"/>
        </w:rPr>
        <w:t xml:space="preserve">the fees for RCEs were reconstructed into a first RCE fee and a second and subsequent RCE fee. The first RCE </w:t>
      </w:r>
      <w:r w:rsidR="00624C38" w:rsidRPr="009B7FE7">
        <w:rPr>
          <w:sz w:val="24"/>
          <w:szCs w:val="24"/>
        </w:rPr>
        <w:t>fee w</w:t>
      </w:r>
      <w:r w:rsidR="00076476">
        <w:rPr>
          <w:sz w:val="24"/>
          <w:szCs w:val="24"/>
        </w:rPr>
        <w:t>as</w:t>
      </w:r>
      <w:r>
        <w:rPr>
          <w:sz w:val="24"/>
          <w:szCs w:val="24"/>
        </w:rPr>
        <w:t xml:space="preserve"> increased </w:t>
      </w:r>
      <w:r w:rsidR="00624C38" w:rsidRPr="009B7FE7">
        <w:rPr>
          <w:sz w:val="24"/>
          <w:szCs w:val="24"/>
        </w:rPr>
        <w:t>from $930 to $1</w:t>
      </w:r>
      <w:r w:rsidR="00076476">
        <w:rPr>
          <w:sz w:val="24"/>
          <w:szCs w:val="24"/>
        </w:rPr>
        <w:t>,</w:t>
      </w:r>
      <w:r w:rsidR="00624C38" w:rsidRPr="009B7FE7">
        <w:rPr>
          <w:sz w:val="24"/>
          <w:szCs w:val="24"/>
        </w:rPr>
        <w:t>200, an increase of 29</w:t>
      </w:r>
      <w:r w:rsidR="0009544C">
        <w:rPr>
          <w:sz w:val="24"/>
          <w:szCs w:val="24"/>
        </w:rPr>
        <w:t xml:space="preserve"> percent</w:t>
      </w:r>
      <w:r w:rsidR="00624C38" w:rsidRPr="009B7FE7">
        <w:rPr>
          <w:sz w:val="24"/>
          <w:szCs w:val="24"/>
        </w:rPr>
        <w:t>. For applicants who had previously filed at least one RCE, the fee increased from $930 to $1</w:t>
      </w:r>
      <w:r w:rsidR="00076476">
        <w:rPr>
          <w:sz w:val="24"/>
          <w:szCs w:val="24"/>
        </w:rPr>
        <w:t>,</w:t>
      </w:r>
      <w:r w:rsidR="00624C38" w:rsidRPr="009B7FE7">
        <w:rPr>
          <w:sz w:val="24"/>
          <w:szCs w:val="24"/>
        </w:rPr>
        <w:t>700</w:t>
      </w:r>
      <w:r w:rsidR="00CD7A6C">
        <w:rPr>
          <w:sz w:val="24"/>
          <w:szCs w:val="24"/>
        </w:rPr>
        <w:t>,</w:t>
      </w:r>
      <w:r w:rsidR="00624C38" w:rsidRPr="009B7FE7">
        <w:rPr>
          <w:sz w:val="24"/>
          <w:szCs w:val="24"/>
        </w:rPr>
        <w:t xml:space="preserve"> roughly 83</w:t>
      </w:r>
      <w:r w:rsidR="0009544C">
        <w:rPr>
          <w:sz w:val="24"/>
          <w:szCs w:val="24"/>
        </w:rPr>
        <w:t xml:space="preserve"> percent</w:t>
      </w:r>
      <w:r w:rsidR="00624C38" w:rsidRPr="009B7FE7">
        <w:rPr>
          <w:sz w:val="24"/>
          <w:szCs w:val="24"/>
        </w:rPr>
        <w:t xml:space="preserve">. </w:t>
      </w:r>
      <w:r w:rsidR="00537514" w:rsidRPr="00537514">
        <w:rPr>
          <w:sz w:val="24"/>
          <w:szCs w:val="24"/>
        </w:rPr>
        <w:t xml:space="preserve">The approach </w:t>
      </w:r>
      <w:r w:rsidR="00522595">
        <w:rPr>
          <w:sz w:val="24"/>
          <w:szCs w:val="24"/>
        </w:rPr>
        <w:t>wa</w:t>
      </w:r>
      <w:r w:rsidR="00537514" w:rsidRPr="00537514">
        <w:rPr>
          <w:sz w:val="24"/>
          <w:szCs w:val="24"/>
        </w:rPr>
        <w:t xml:space="preserve">s to </w:t>
      </w:r>
      <w:r w:rsidR="00A20C34">
        <w:rPr>
          <w:sz w:val="24"/>
          <w:szCs w:val="24"/>
        </w:rPr>
        <w:t>estimate</w:t>
      </w:r>
      <w:r w:rsidR="00537514" w:rsidRPr="00537514">
        <w:rPr>
          <w:sz w:val="24"/>
          <w:szCs w:val="24"/>
        </w:rPr>
        <w:t xml:space="preserve"> </w:t>
      </w:r>
      <w:r w:rsidR="00537514">
        <w:rPr>
          <w:sz w:val="24"/>
          <w:szCs w:val="24"/>
        </w:rPr>
        <w:t xml:space="preserve">the change in the probability of filing an RCE by comparing stakeholder decisions before and </w:t>
      </w:r>
      <w:r w:rsidR="00537514" w:rsidRPr="00537514">
        <w:rPr>
          <w:sz w:val="24"/>
          <w:szCs w:val="24"/>
        </w:rPr>
        <w:t xml:space="preserve">after the fee change. </w:t>
      </w:r>
      <w:r w:rsidR="00076476">
        <w:rPr>
          <w:sz w:val="24"/>
          <w:szCs w:val="24"/>
        </w:rPr>
        <w:t xml:space="preserve">The </w:t>
      </w:r>
      <w:r w:rsidR="00CD7A6C">
        <w:rPr>
          <w:sz w:val="24"/>
          <w:szCs w:val="24"/>
        </w:rPr>
        <w:t>O</w:t>
      </w:r>
      <w:r w:rsidR="0009544C">
        <w:rPr>
          <w:sz w:val="24"/>
          <w:szCs w:val="24"/>
        </w:rPr>
        <w:t>ffice</w:t>
      </w:r>
      <w:r w:rsidR="0009544C" w:rsidRPr="00537514">
        <w:rPr>
          <w:sz w:val="24"/>
          <w:szCs w:val="24"/>
        </w:rPr>
        <w:t xml:space="preserve"> </w:t>
      </w:r>
      <w:r w:rsidR="00537514" w:rsidRPr="00537514">
        <w:rPr>
          <w:sz w:val="24"/>
          <w:szCs w:val="24"/>
        </w:rPr>
        <w:t xml:space="preserve">constructed a dataset </w:t>
      </w:r>
      <w:r w:rsidR="00537514">
        <w:rPr>
          <w:sz w:val="24"/>
          <w:szCs w:val="24"/>
        </w:rPr>
        <w:t>consisting of all patents with final rejections in the year preceding the fee change (April 2012</w:t>
      </w:r>
      <w:r w:rsidR="00CD7A6C">
        <w:rPr>
          <w:sz w:val="24"/>
          <w:szCs w:val="24"/>
        </w:rPr>
        <w:t>-</w:t>
      </w:r>
      <w:r w:rsidR="009A4186">
        <w:rPr>
          <w:sz w:val="24"/>
          <w:szCs w:val="24"/>
        </w:rPr>
        <w:t>March 2013</w:t>
      </w:r>
      <w:r w:rsidR="00537514">
        <w:rPr>
          <w:sz w:val="24"/>
          <w:szCs w:val="24"/>
        </w:rPr>
        <w:t>) and the year following the fee change (</w:t>
      </w:r>
      <w:r w:rsidR="009A4186">
        <w:rPr>
          <w:sz w:val="24"/>
          <w:szCs w:val="24"/>
        </w:rPr>
        <w:t>April 2013</w:t>
      </w:r>
      <w:r w:rsidR="00CD7A6C">
        <w:rPr>
          <w:sz w:val="24"/>
          <w:szCs w:val="24"/>
        </w:rPr>
        <w:t>-</w:t>
      </w:r>
      <w:r w:rsidR="00537514">
        <w:rPr>
          <w:sz w:val="24"/>
          <w:szCs w:val="24"/>
        </w:rPr>
        <w:t xml:space="preserve">March 2014). </w:t>
      </w:r>
    </w:p>
    <w:p w14:paraId="353FC420" w14:textId="3A0E77B3" w:rsidR="00BC7747" w:rsidRDefault="00537514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>
        <w:rPr>
          <w:sz w:val="24"/>
          <w:szCs w:val="24"/>
        </w:rPr>
        <w:t>Similar to the approaches described above, a line</w:t>
      </w:r>
      <w:r w:rsidR="000875C1">
        <w:rPr>
          <w:sz w:val="24"/>
          <w:szCs w:val="24"/>
        </w:rPr>
        <w:t>a</w:t>
      </w:r>
      <w:r>
        <w:rPr>
          <w:sz w:val="24"/>
          <w:szCs w:val="24"/>
        </w:rPr>
        <w:t xml:space="preserve">r probability model was specified and estimated. The main variable of interest,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Post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0875C1">
        <w:rPr>
          <w:sz w:val="24"/>
          <w:szCs w:val="24"/>
        </w:rPr>
        <w:t>,</w:t>
      </w:r>
      <w:r w:rsidR="000875C1" w:rsidRPr="009078DD">
        <w:rPr>
          <w:sz w:val="24"/>
          <w:szCs w:val="24"/>
        </w:rPr>
        <w:t xml:space="preserve"> </w:t>
      </w:r>
      <w:r w:rsidR="000875C1">
        <w:rPr>
          <w:sz w:val="24"/>
          <w:szCs w:val="24"/>
        </w:rPr>
        <w:t xml:space="preserve">indicated </w:t>
      </w:r>
      <w:r w:rsidR="00CD7A6C">
        <w:rPr>
          <w:sz w:val="24"/>
          <w:szCs w:val="24"/>
        </w:rPr>
        <w:t xml:space="preserve">whether </w:t>
      </w:r>
      <w:r w:rsidR="000875C1">
        <w:rPr>
          <w:sz w:val="24"/>
          <w:szCs w:val="24"/>
        </w:rPr>
        <w:t>an RCE was filed before the 2013 fee change (</w:t>
      </w:r>
      <w:r w:rsidR="000875C1" w:rsidRPr="009078DD">
        <w:rPr>
          <w:sz w:val="24"/>
          <w:szCs w:val="24"/>
        </w:rPr>
        <w:t>taking a value of 0) or after the fee change (taking a value of 1).</w:t>
      </w:r>
      <w:r w:rsidR="000875C1">
        <w:rPr>
          <w:sz w:val="24"/>
          <w:szCs w:val="24"/>
        </w:rPr>
        <w:t xml:space="preserve"> </w:t>
      </w:r>
      <w:r w:rsidR="00A20C34">
        <w:rPr>
          <w:sz w:val="24"/>
          <w:szCs w:val="24"/>
        </w:rPr>
        <w:t xml:space="preserve">The specification included additional variables to </w:t>
      </w:r>
      <w:r w:rsidR="000875C1">
        <w:rPr>
          <w:sz w:val="24"/>
          <w:szCs w:val="24"/>
        </w:rPr>
        <w:t xml:space="preserve">hold </w:t>
      </w:r>
      <w:r w:rsidR="00A20C34">
        <w:rPr>
          <w:sz w:val="24"/>
          <w:szCs w:val="24"/>
        </w:rPr>
        <w:t xml:space="preserve">other influences </w:t>
      </w:r>
      <w:r w:rsidR="000875C1">
        <w:rPr>
          <w:sz w:val="24"/>
          <w:szCs w:val="24"/>
        </w:rPr>
        <w:t xml:space="preserve">constant. These included: (1) </w:t>
      </w:r>
      <w:r w:rsidR="00AB5686" w:rsidRPr="009B7FE7">
        <w:rPr>
          <w:sz w:val="24"/>
          <w:szCs w:val="24"/>
        </w:rPr>
        <w:t>whether or not the applicant had filed a previous RCE</w:t>
      </w:r>
      <w:r w:rsidR="00CD7A6C">
        <w:rPr>
          <w:sz w:val="24"/>
          <w:szCs w:val="24"/>
        </w:rPr>
        <w:t>,</w:t>
      </w:r>
      <w:r w:rsidR="000875C1">
        <w:rPr>
          <w:sz w:val="24"/>
          <w:szCs w:val="24"/>
        </w:rPr>
        <w:t xml:space="preserve"> (2) </w:t>
      </w:r>
      <w:r w:rsidR="00AB5686" w:rsidRPr="009B7FE7">
        <w:rPr>
          <w:sz w:val="24"/>
          <w:szCs w:val="24"/>
        </w:rPr>
        <w:t>the amount of time the application had been pending at the USPTO</w:t>
      </w:r>
      <w:r w:rsidR="00CD7A6C">
        <w:rPr>
          <w:sz w:val="24"/>
          <w:szCs w:val="24"/>
        </w:rPr>
        <w:t>,</w:t>
      </w:r>
      <w:r w:rsidR="000875C1">
        <w:rPr>
          <w:sz w:val="24"/>
          <w:szCs w:val="24"/>
        </w:rPr>
        <w:t xml:space="preserve"> (3) </w:t>
      </w:r>
      <w:r w:rsidR="00AB5686" w:rsidRPr="009B7FE7">
        <w:rPr>
          <w:sz w:val="24"/>
          <w:szCs w:val="24"/>
        </w:rPr>
        <w:t>the number of independent claims in the initial application</w:t>
      </w:r>
      <w:r w:rsidR="00CD7A6C">
        <w:rPr>
          <w:sz w:val="24"/>
          <w:szCs w:val="24"/>
        </w:rPr>
        <w:t>,</w:t>
      </w:r>
      <w:r w:rsidR="000875C1">
        <w:rPr>
          <w:sz w:val="24"/>
          <w:szCs w:val="24"/>
        </w:rPr>
        <w:t xml:space="preserve"> (4) </w:t>
      </w:r>
      <w:r w:rsidR="00AB5686" w:rsidRPr="009B7FE7">
        <w:rPr>
          <w:sz w:val="24"/>
          <w:szCs w:val="24"/>
        </w:rPr>
        <w:t>the number of words in the shortest independent claim</w:t>
      </w:r>
      <w:r w:rsidR="00CD7A6C">
        <w:rPr>
          <w:sz w:val="24"/>
          <w:szCs w:val="24"/>
        </w:rPr>
        <w:t>,</w:t>
      </w:r>
      <w:r w:rsidR="000875C1">
        <w:rPr>
          <w:sz w:val="24"/>
          <w:szCs w:val="24"/>
        </w:rPr>
        <w:t xml:space="preserve"> (5) </w:t>
      </w:r>
      <w:r w:rsidR="00AB5686" w:rsidRPr="009B7FE7">
        <w:rPr>
          <w:sz w:val="24"/>
          <w:szCs w:val="24"/>
        </w:rPr>
        <w:t>the number of appeal cases pending at the Paten</w:t>
      </w:r>
      <w:r w:rsidR="000875C1">
        <w:rPr>
          <w:sz w:val="24"/>
          <w:szCs w:val="24"/>
        </w:rPr>
        <w:t>t Trial and Appeal Board (PTAB)</w:t>
      </w:r>
      <w:r w:rsidR="00CD7A6C">
        <w:rPr>
          <w:sz w:val="24"/>
          <w:szCs w:val="24"/>
        </w:rPr>
        <w:t>,</w:t>
      </w:r>
      <w:r w:rsidR="000875C1">
        <w:rPr>
          <w:sz w:val="24"/>
          <w:szCs w:val="24"/>
        </w:rPr>
        <w:t xml:space="preserve"> and (6)</w:t>
      </w:r>
      <w:r w:rsidR="00AB5686" w:rsidRPr="009B7FE7">
        <w:rPr>
          <w:sz w:val="24"/>
          <w:szCs w:val="24"/>
        </w:rPr>
        <w:t xml:space="preserve"> the relationship between the application and previous parent applications</w:t>
      </w:r>
      <w:r w:rsidR="000875C1">
        <w:rPr>
          <w:sz w:val="24"/>
          <w:szCs w:val="24"/>
        </w:rPr>
        <w:t>.</w:t>
      </w:r>
      <w:r w:rsidR="00AB5686" w:rsidRPr="009B7FE7">
        <w:rPr>
          <w:sz w:val="24"/>
          <w:szCs w:val="24"/>
        </w:rPr>
        <w:t xml:space="preserve"> </w:t>
      </w:r>
      <w:r w:rsidR="000875C1">
        <w:rPr>
          <w:sz w:val="24"/>
          <w:szCs w:val="24"/>
        </w:rPr>
        <w:t>To explore the influence of</w:t>
      </w:r>
      <w:r w:rsidR="00DF221E">
        <w:rPr>
          <w:sz w:val="24"/>
          <w:szCs w:val="24"/>
        </w:rPr>
        <w:t xml:space="preserve"> entity</w:t>
      </w:r>
      <w:r w:rsidR="000875C1">
        <w:rPr>
          <w:sz w:val="24"/>
          <w:szCs w:val="24"/>
        </w:rPr>
        <w:t xml:space="preserve"> size, separate models were estimated for </w:t>
      </w:r>
      <w:r w:rsidR="00AB5686" w:rsidRPr="009B7FE7">
        <w:rPr>
          <w:sz w:val="24"/>
          <w:szCs w:val="24"/>
        </w:rPr>
        <w:t>large and small entities</w:t>
      </w:r>
      <w:r w:rsidR="000875C1">
        <w:rPr>
          <w:sz w:val="24"/>
          <w:szCs w:val="24"/>
        </w:rPr>
        <w:t xml:space="preserve">; however, no statistically significant differences were found. </w:t>
      </w:r>
      <w:r w:rsidR="00076476">
        <w:rPr>
          <w:sz w:val="24"/>
          <w:szCs w:val="24"/>
        </w:rPr>
        <w:t xml:space="preserve">The </w:t>
      </w:r>
      <w:r w:rsidR="00494CAE">
        <w:rPr>
          <w:sz w:val="24"/>
          <w:szCs w:val="24"/>
        </w:rPr>
        <w:t xml:space="preserve">USPTO </w:t>
      </w:r>
      <w:r w:rsidR="000875C1">
        <w:rPr>
          <w:sz w:val="24"/>
          <w:szCs w:val="24"/>
        </w:rPr>
        <w:t xml:space="preserve">also allowed </w:t>
      </w:r>
      <w:r w:rsidR="00A20C34">
        <w:rPr>
          <w:sz w:val="24"/>
          <w:szCs w:val="24"/>
        </w:rPr>
        <w:t>for difference coefficients for p</w:t>
      </w:r>
      <w:r w:rsidR="000875C1">
        <w:rPr>
          <w:sz w:val="24"/>
          <w:szCs w:val="24"/>
        </w:rPr>
        <w:t xml:space="preserve">atents </w:t>
      </w:r>
      <w:r w:rsidR="00A20C34">
        <w:rPr>
          <w:sz w:val="24"/>
          <w:szCs w:val="24"/>
        </w:rPr>
        <w:t xml:space="preserve">that had </w:t>
      </w:r>
      <w:r w:rsidR="00AB5686" w:rsidRPr="009B7FE7">
        <w:rPr>
          <w:sz w:val="24"/>
          <w:szCs w:val="24"/>
        </w:rPr>
        <w:t>a previous RCE</w:t>
      </w:r>
      <w:r w:rsidR="000875C1">
        <w:rPr>
          <w:sz w:val="24"/>
          <w:szCs w:val="24"/>
        </w:rPr>
        <w:t>. The elasticities and confidence intervals were d</w:t>
      </w:r>
      <w:r w:rsidR="00BC7747">
        <w:rPr>
          <w:sz w:val="24"/>
          <w:szCs w:val="24"/>
        </w:rPr>
        <w:t xml:space="preserve">erived using the same methods as </w:t>
      </w:r>
      <w:r w:rsidR="00A20C34">
        <w:rPr>
          <w:sz w:val="24"/>
          <w:szCs w:val="24"/>
        </w:rPr>
        <w:t xml:space="preserve">discussed for </w:t>
      </w:r>
      <w:r w:rsidR="00076476">
        <w:rPr>
          <w:sz w:val="24"/>
          <w:szCs w:val="24"/>
        </w:rPr>
        <w:t xml:space="preserve">excess independent claim, excess total claim, </w:t>
      </w:r>
      <w:r w:rsidR="00055041">
        <w:rPr>
          <w:sz w:val="24"/>
          <w:szCs w:val="24"/>
        </w:rPr>
        <w:t>application size (</w:t>
      </w:r>
      <w:r w:rsidR="00076476">
        <w:rPr>
          <w:sz w:val="24"/>
          <w:szCs w:val="24"/>
        </w:rPr>
        <w:t>excess page</w:t>
      </w:r>
      <w:r w:rsidR="00055041">
        <w:rPr>
          <w:sz w:val="24"/>
          <w:szCs w:val="24"/>
        </w:rPr>
        <w:t>)</w:t>
      </w:r>
      <w:r w:rsidR="009A4186">
        <w:rPr>
          <w:sz w:val="24"/>
          <w:szCs w:val="24"/>
        </w:rPr>
        <w:t>,</w:t>
      </w:r>
      <w:r w:rsidR="00076476">
        <w:rPr>
          <w:sz w:val="24"/>
          <w:szCs w:val="24"/>
        </w:rPr>
        <w:t xml:space="preserve"> and issue fees</w:t>
      </w:r>
      <w:r w:rsidR="00BC7747">
        <w:rPr>
          <w:sz w:val="24"/>
          <w:szCs w:val="24"/>
        </w:rPr>
        <w:t xml:space="preserve">. </w:t>
      </w:r>
    </w:p>
    <w:p w14:paraId="01DBC22C" w14:textId="23388CF8" w:rsidR="008B62FD" w:rsidRPr="009B7FE7" w:rsidRDefault="00A20C34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>
        <w:rPr>
          <w:sz w:val="24"/>
          <w:szCs w:val="24"/>
        </w:rPr>
        <w:t>As s</w:t>
      </w:r>
      <w:r w:rsidR="00C3671D">
        <w:rPr>
          <w:sz w:val="24"/>
          <w:szCs w:val="24"/>
        </w:rPr>
        <w:t>een</w:t>
      </w:r>
      <w:r>
        <w:rPr>
          <w:sz w:val="24"/>
          <w:szCs w:val="24"/>
        </w:rPr>
        <w:t xml:space="preserve"> in Table 1, the results show that stakeholders are relatively insensitive to</w:t>
      </w:r>
      <w:r w:rsidR="00DF221E">
        <w:rPr>
          <w:sz w:val="24"/>
          <w:szCs w:val="24"/>
        </w:rPr>
        <w:t xml:space="preserve"> changes in</w:t>
      </w:r>
      <w:r>
        <w:rPr>
          <w:sz w:val="24"/>
          <w:szCs w:val="24"/>
        </w:rPr>
        <w:t xml:space="preserve"> RCE fees (i.e.</w:t>
      </w:r>
      <w:r w:rsidR="009A4186">
        <w:rPr>
          <w:sz w:val="24"/>
          <w:szCs w:val="24"/>
        </w:rPr>
        <w:t>, demand is</w:t>
      </w:r>
      <w:r>
        <w:rPr>
          <w:sz w:val="24"/>
          <w:szCs w:val="24"/>
        </w:rPr>
        <w:t xml:space="preserve"> inelastic)</w:t>
      </w:r>
      <w:r w:rsidR="00CD7A6C">
        <w:rPr>
          <w:sz w:val="24"/>
          <w:szCs w:val="24"/>
        </w:rPr>
        <w:t>,</w:t>
      </w:r>
      <w:r>
        <w:rPr>
          <w:sz w:val="24"/>
          <w:szCs w:val="24"/>
        </w:rPr>
        <w:t xml:space="preserve"> with an estimated elasticity of </w:t>
      </w:r>
      <w:r w:rsidR="008B62FD" w:rsidRPr="009B7FE7">
        <w:rPr>
          <w:sz w:val="24"/>
          <w:szCs w:val="24"/>
        </w:rPr>
        <w:t>-0.08</w:t>
      </w:r>
      <w:r>
        <w:rPr>
          <w:sz w:val="24"/>
          <w:szCs w:val="24"/>
        </w:rPr>
        <w:t xml:space="preserve">. The </w:t>
      </w:r>
      <w:r w:rsidR="008B62FD" w:rsidRPr="009B7FE7">
        <w:rPr>
          <w:sz w:val="24"/>
          <w:szCs w:val="24"/>
        </w:rPr>
        <w:t>95</w:t>
      </w:r>
      <w:r w:rsidR="0009544C">
        <w:rPr>
          <w:sz w:val="24"/>
          <w:szCs w:val="24"/>
        </w:rPr>
        <w:t xml:space="preserve"> percent</w:t>
      </w:r>
      <w:r w:rsidR="008B62FD" w:rsidRPr="009B7FE7">
        <w:rPr>
          <w:sz w:val="24"/>
          <w:szCs w:val="24"/>
        </w:rPr>
        <w:t xml:space="preserve"> confidence interval ranges from -0.11 to -0.04.</w:t>
      </w:r>
    </w:p>
    <w:p w14:paraId="48866A66" w14:textId="28E77671" w:rsidR="00D63785" w:rsidRPr="0099688E" w:rsidRDefault="00D63785" w:rsidP="00D63785">
      <w:pPr>
        <w:pStyle w:val="BodyText"/>
        <w:spacing w:before="120" w:line="480" w:lineRule="auto"/>
        <w:ind w:left="144" w:right="144"/>
        <w:jc w:val="both"/>
        <w:rPr>
          <w:b/>
        </w:rPr>
      </w:pPr>
      <w:r w:rsidRPr="0099688E">
        <w:rPr>
          <w:b/>
        </w:rPr>
        <w:lastRenderedPageBreak/>
        <w:t xml:space="preserve">Appeal </w:t>
      </w:r>
      <w:r w:rsidR="00076476" w:rsidRPr="0099688E">
        <w:rPr>
          <w:b/>
        </w:rPr>
        <w:t>F</w:t>
      </w:r>
      <w:r w:rsidRPr="0099688E">
        <w:rPr>
          <w:b/>
        </w:rPr>
        <w:t>ees</w:t>
      </w:r>
    </w:p>
    <w:p w14:paraId="712A2B7B" w14:textId="73A495B3" w:rsidR="001562AE" w:rsidRDefault="001562AE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  <w:t xml:space="preserve">The approach to estimate the elasticity for appeals fees also used a before/after design that focused on the 2013 </w:t>
      </w:r>
      <w:r w:rsidR="00C50743">
        <w:rPr>
          <w:sz w:val="24"/>
          <w:szCs w:val="24"/>
        </w:rPr>
        <w:t>Setting and Adjusting Patent Fees</w:t>
      </w:r>
      <w:r w:rsidR="006D4322">
        <w:rPr>
          <w:sz w:val="24"/>
          <w:szCs w:val="24"/>
        </w:rPr>
        <w:t xml:space="preserve"> rule</w:t>
      </w:r>
      <w:r>
        <w:rPr>
          <w:sz w:val="24"/>
          <w:szCs w:val="24"/>
        </w:rPr>
        <w:t xml:space="preserve">. </w:t>
      </w:r>
      <w:r w:rsidR="008B62FD" w:rsidRPr="009B7FE7">
        <w:rPr>
          <w:sz w:val="24"/>
          <w:szCs w:val="24"/>
        </w:rPr>
        <w:t xml:space="preserve">In March of that year, </w:t>
      </w:r>
      <w:r>
        <w:rPr>
          <w:sz w:val="24"/>
          <w:szCs w:val="24"/>
        </w:rPr>
        <w:t xml:space="preserve">appeal </w:t>
      </w:r>
      <w:r w:rsidR="008B62FD" w:rsidRPr="009B7FE7">
        <w:rPr>
          <w:sz w:val="24"/>
          <w:szCs w:val="24"/>
        </w:rPr>
        <w:t>fees</w:t>
      </w:r>
      <w:r>
        <w:rPr>
          <w:sz w:val="24"/>
          <w:szCs w:val="24"/>
        </w:rPr>
        <w:t xml:space="preserve"> increased</w:t>
      </w:r>
      <w:r w:rsidR="00CD7A6C">
        <w:rPr>
          <w:sz w:val="24"/>
          <w:szCs w:val="24"/>
        </w:rPr>
        <w:t>,</w:t>
      </w:r>
      <w:r w:rsidR="008B62FD" w:rsidRPr="009B7FE7">
        <w:rPr>
          <w:sz w:val="24"/>
          <w:szCs w:val="24"/>
        </w:rPr>
        <w:t xml:space="preserve"> and the USPTO created a new fee regime. For applicants who had not filed a prior RCE during prosecution, the fee increased from $630 to $800, an increase of 27</w:t>
      </w:r>
      <w:r w:rsidR="0009544C">
        <w:rPr>
          <w:sz w:val="24"/>
          <w:szCs w:val="24"/>
        </w:rPr>
        <w:t xml:space="preserve"> percent</w:t>
      </w:r>
      <w:r w:rsidR="008B62FD" w:rsidRPr="009B7FE7">
        <w:rPr>
          <w:sz w:val="24"/>
          <w:szCs w:val="24"/>
        </w:rPr>
        <w:t xml:space="preserve">. </w:t>
      </w:r>
      <w:r w:rsidR="00C50743">
        <w:rPr>
          <w:sz w:val="24"/>
          <w:szCs w:val="24"/>
        </w:rPr>
        <w:t xml:space="preserve">The </w:t>
      </w:r>
      <w:r w:rsidR="00CD7A6C">
        <w:rPr>
          <w:sz w:val="24"/>
          <w:szCs w:val="24"/>
        </w:rPr>
        <w:t>O</w:t>
      </w:r>
      <w:r w:rsidR="00494CAE">
        <w:rPr>
          <w:sz w:val="24"/>
          <w:szCs w:val="24"/>
        </w:rPr>
        <w:t>ffice</w:t>
      </w:r>
      <w:r w:rsidR="00494CAE" w:rsidRPr="001562AE">
        <w:rPr>
          <w:sz w:val="24"/>
          <w:szCs w:val="24"/>
        </w:rPr>
        <w:t xml:space="preserve"> </w:t>
      </w:r>
      <w:r w:rsidRPr="001562AE">
        <w:rPr>
          <w:sz w:val="24"/>
          <w:szCs w:val="24"/>
        </w:rPr>
        <w:t>constructed a dataset consisting of all patents with final rejections in the year preceding the fee change (April 2012</w:t>
      </w:r>
      <w:r w:rsidR="00CD7A6C">
        <w:rPr>
          <w:sz w:val="24"/>
          <w:szCs w:val="24"/>
        </w:rPr>
        <w:t>-</w:t>
      </w:r>
      <w:r w:rsidR="009A4186">
        <w:rPr>
          <w:sz w:val="24"/>
          <w:szCs w:val="24"/>
        </w:rPr>
        <w:t>March 2013</w:t>
      </w:r>
      <w:r w:rsidRPr="001562AE">
        <w:rPr>
          <w:sz w:val="24"/>
          <w:szCs w:val="24"/>
        </w:rPr>
        <w:t>) and the year following the fee change (</w:t>
      </w:r>
      <w:r w:rsidR="009A4186">
        <w:rPr>
          <w:sz w:val="24"/>
          <w:szCs w:val="24"/>
        </w:rPr>
        <w:t>April 2013</w:t>
      </w:r>
      <w:r w:rsidR="00CD7A6C">
        <w:rPr>
          <w:sz w:val="24"/>
          <w:szCs w:val="24"/>
        </w:rPr>
        <w:t>-</w:t>
      </w:r>
      <w:r w:rsidRPr="001562AE">
        <w:rPr>
          <w:sz w:val="24"/>
          <w:szCs w:val="24"/>
        </w:rPr>
        <w:t>March 2014).</w:t>
      </w:r>
    </w:p>
    <w:p w14:paraId="63BF4818" w14:textId="0C0FDB82" w:rsidR="008B62FD" w:rsidRPr="009B7FE7" w:rsidRDefault="00C135C4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  <w:t xml:space="preserve">The model specification </w:t>
      </w:r>
      <w:r w:rsidR="00E01E2A">
        <w:rPr>
          <w:sz w:val="24"/>
          <w:szCs w:val="24"/>
        </w:rPr>
        <w:t>and estimation method were</w:t>
      </w:r>
      <w:r>
        <w:rPr>
          <w:sz w:val="24"/>
          <w:szCs w:val="24"/>
        </w:rPr>
        <w:t xml:space="preserve"> the same as discussed above for RCE fees. </w:t>
      </w:r>
      <w:r w:rsidR="00C0548A">
        <w:rPr>
          <w:sz w:val="24"/>
          <w:szCs w:val="24"/>
        </w:rPr>
        <w:t xml:space="preserve">In this case, the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Post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0548A">
        <w:rPr>
          <w:sz w:val="24"/>
          <w:szCs w:val="24"/>
        </w:rPr>
        <w:t xml:space="preserve"> variable captures whether an appeal was filed </w:t>
      </w:r>
      <w:r w:rsidR="00C0548A" w:rsidRPr="00C0548A">
        <w:rPr>
          <w:sz w:val="24"/>
          <w:szCs w:val="24"/>
        </w:rPr>
        <w:t xml:space="preserve">before the 2013 fee change (taking a value of 0) or after the fee change (taking a value of 1). </w:t>
      </w:r>
      <w:r w:rsidR="00C50743">
        <w:rPr>
          <w:sz w:val="24"/>
          <w:szCs w:val="24"/>
        </w:rPr>
        <w:t xml:space="preserve">The </w:t>
      </w:r>
      <w:r w:rsidR="00C117A1">
        <w:rPr>
          <w:sz w:val="24"/>
          <w:szCs w:val="24"/>
        </w:rPr>
        <w:t>O</w:t>
      </w:r>
      <w:r w:rsidR="00494CAE">
        <w:rPr>
          <w:sz w:val="24"/>
          <w:szCs w:val="24"/>
        </w:rPr>
        <w:t>ffice</w:t>
      </w:r>
      <w:r w:rsidR="00494CAE" w:rsidRPr="009B7FE7">
        <w:rPr>
          <w:sz w:val="24"/>
          <w:szCs w:val="24"/>
        </w:rPr>
        <w:t xml:space="preserve"> </w:t>
      </w:r>
      <w:r w:rsidR="008B62FD" w:rsidRPr="009B7FE7">
        <w:rPr>
          <w:sz w:val="24"/>
          <w:szCs w:val="24"/>
        </w:rPr>
        <w:t xml:space="preserve">estimated separate models for large and small entities. </w:t>
      </w:r>
      <w:r w:rsidR="00C50743">
        <w:rPr>
          <w:sz w:val="24"/>
          <w:szCs w:val="24"/>
        </w:rPr>
        <w:t>S</w:t>
      </w:r>
      <w:r w:rsidR="008B62FD" w:rsidRPr="009B7FE7">
        <w:rPr>
          <w:sz w:val="24"/>
          <w:szCs w:val="24"/>
        </w:rPr>
        <w:t>eparate elasticities for applications with and without previous RCEs</w:t>
      </w:r>
      <w:r w:rsidR="00C50743">
        <w:rPr>
          <w:sz w:val="24"/>
          <w:szCs w:val="24"/>
        </w:rPr>
        <w:t xml:space="preserve"> were also estimated</w:t>
      </w:r>
      <w:r w:rsidR="008B62FD" w:rsidRPr="009B7FE7">
        <w:rPr>
          <w:sz w:val="24"/>
          <w:szCs w:val="24"/>
        </w:rPr>
        <w:t xml:space="preserve">, </w:t>
      </w:r>
      <w:r w:rsidR="00C3671D">
        <w:rPr>
          <w:sz w:val="24"/>
          <w:szCs w:val="24"/>
        </w:rPr>
        <w:t xml:space="preserve">but their difference was not statistically </w:t>
      </w:r>
      <w:r w:rsidR="008B62FD" w:rsidRPr="009B7FE7">
        <w:rPr>
          <w:sz w:val="24"/>
          <w:szCs w:val="24"/>
        </w:rPr>
        <w:t>significant.</w:t>
      </w:r>
    </w:p>
    <w:p w14:paraId="3C3D9DEE" w14:textId="316B5F4E" w:rsidR="008B62FD" w:rsidRDefault="00C0548A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C50743">
        <w:rPr>
          <w:sz w:val="24"/>
          <w:szCs w:val="24"/>
        </w:rPr>
        <w:t>The</w:t>
      </w:r>
      <w:r w:rsidR="008B62FD" w:rsidRPr="009B7FE7">
        <w:rPr>
          <w:sz w:val="24"/>
          <w:szCs w:val="24"/>
        </w:rPr>
        <w:t xml:space="preserve"> results indicate an elasticity of </w:t>
      </w:r>
      <w:r w:rsidR="000C6F93" w:rsidRPr="009B7FE7">
        <w:rPr>
          <w:sz w:val="24"/>
          <w:szCs w:val="24"/>
        </w:rPr>
        <w:t>-0.15 for large entities</w:t>
      </w:r>
      <w:r w:rsidR="008B62FD" w:rsidRPr="009B7FE7">
        <w:rPr>
          <w:sz w:val="24"/>
          <w:szCs w:val="24"/>
        </w:rPr>
        <w:t xml:space="preserve">, indicating relatively little sensitivity to </w:t>
      </w:r>
      <w:r w:rsidR="000C6F93" w:rsidRPr="009B7FE7">
        <w:rPr>
          <w:sz w:val="24"/>
          <w:szCs w:val="24"/>
        </w:rPr>
        <w:t xml:space="preserve">appeal </w:t>
      </w:r>
      <w:r w:rsidR="008B62FD" w:rsidRPr="009B7FE7">
        <w:rPr>
          <w:sz w:val="24"/>
          <w:szCs w:val="24"/>
        </w:rPr>
        <w:t>fee changes</w:t>
      </w:r>
      <w:r w:rsidR="00FE4109" w:rsidRPr="009B7FE7">
        <w:rPr>
          <w:sz w:val="24"/>
          <w:szCs w:val="24"/>
        </w:rPr>
        <w:t xml:space="preserve"> (</w:t>
      </w:r>
      <w:r w:rsidR="00FE4109" w:rsidRPr="0099688E">
        <w:rPr>
          <w:i/>
          <w:sz w:val="24"/>
          <w:szCs w:val="24"/>
        </w:rPr>
        <w:t>see</w:t>
      </w:r>
      <w:r w:rsidR="00FE4109" w:rsidRPr="009B7FE7">
        <w:rPr>
          <w:sz w:val="24"/>
          <w:szCs w:val="24"/>
        </w:rPr>
        <w:t xml:space="preserve"> Table 1)</w:t>
      </w:r>
      <w:r w:rsidR="008B62FD" w:rsidRPr="009B7FE7">
        <w:rPr>
          <w:sz w:val="24"/>
          <w:szCs w:val="24"/>
        </w:rPr>
        <w:t>. The 95</w:t>
      </w:r>
      <w:r w:rsidR="0009544C">
        <w:rPr>
          <w:sz w:val="24"/>
          <w:szCs w:val="24"/>
        </w:rPr>
        <w:t xml:space="preserve"> percent</w:t>
      </w:r>
      <w:r w:rsidR="008B62FD" w:rsidRPr="009B7FE7">
        <w:rPr>
          <w:sz w:val="24"/>
          <w:szCs w:val="24"/>
        </w:rPr>
        <w:t xml:space="preserve"> confidence interval ranges from </w:t>
      </w:r>
      <w:r w:rsidR="00522595">
        <w:rPr>
          <w:sz w:val="24"/>
          <w:szCs w:val="24"/>
        </w:rPr>
        <w:noBreakHyphen/>
      </w:r>
      <w:r w:rsidR="008B62FD" w:rsidRPr="009B7FE7">
        <w:rPr>
          <w:sz w:val="24"/>
          <w:szCs w:val="24"/>
        </w:rPr>
        <w:t>0.</w:t>
      </w:r>
      <w:r w:rsidR="000C6F93" w:rsidRPr="009B7FE7">
        <w:rPr>
          <w:sz w:val="24"/>
          <w:szCs w:val="24"/>
        </w:rPr>
        <w:t>27</w:t>
      </w:r>
      <w:r w:rsidR="008B62FD" w:rsidRPr="009B7FE7">
        <w:rPr>
          <w:sz w:val="24"/>
          <w:szCs w:val="24"/>
        </w:rPr>
        <w:t xml:space="preserve"> to -0.04.</w:t>
      </w:r>
      <w:r w:rsidR="000C6F93" w:rsidRPr="009B7FE7">
        <w:rPr>
          <w:sz w:val="24"/>
          <w:szCs w:val="24"/>
        </w:rPr>
        <w:t xml:space="preserve"> The elasticity estimate for small </w:t>
      </w:r>
      <w:r w:rsidR="00DF221E">
        <w:rPr>
          <w:sz w:val="24"/>
          <w:szCs w:val="24"/>
        </w:rPr>
        <w:t>entities</w:t>
      </w:r>
      <w:r w:rsidR="000C6F93" w:rsidRPr="009B7FE7">
        <w:rPr>
          <w:sz w:val="24"/>
          <w:szCs w:val="24"/>
        </w:rPr>
        <w:t xml:space="preserve"> is -0.33, indicating that small entities are more sensitive to changes in the appeal fee. The 95</w:t>
      </w:r>
      <w:r w:rsidR="0009544C">
        <w:rPr>
          <w:sz w:val="24"/>
          <w:szCs w:val="24"/>
        </w:rPr>
        <w:t xml:space="preserve"> percent</w:t>
      </w:r>
      <w:r w:rsidR="000C6F93" w:rsidRPr="009B7FE7">
        <w:rPr>
          <w:sz w:val="24"/>
          <w:szCs w:val="24"/>
        </w:rPr>
        <w:t xml:space="preserve"> confidence interval for small entities ranges from -0.52 to -0.13.</w:t>
      </w:r>
    </w:p>
    <w:p w14:paraId="533FBF2A" w14:textId="29635174" w:rsidR="00FF6218" w:rsidRPr="0099688E" w:rsidRDefault="00FF6218" w:rsidP="00D5004D">
      <w:pPr>
        <w:pStyle w:val="BodyText"/>
        <w:spacing w:before="120" w:line="480" w:lineRule="auto"/>
        <w:ind w:left="144" w:right="144"/>
        <w:rPr>
          <w:b/>
        </w:rPr>
      </w:pPr>
      <w:r w:rsidRPr="0099688E">
        <w:rPr>
          <w:b/>
        </w:rPr>
        <w:t xml:space="preserve">America Invents Act (AIA) Trial </w:t>
      </w:r>
      <w:r w:rsidR="00C50743" w:rsidRPr="0099688E">
        <w:rPr>
          <w:b/>
        </w:rPr>
        <w:t>F</w:t>
      </w:r>
      <w:r w:rsidRPr="0099688E">
        <w:rPr>
          <w:b/>
        </w:rPr>
        <w:t>ees</w:t>
      </w:r>
    </w:p>
    <w:p w14:paraId="2DF62A85" w14:textId="0975204E" w:rsidR="00BA5822" w:rsidRPr="00BA5822" w:rsidRDefault="00BA5822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>
        <w:rPr>
          <w:sz w:val="24"/>
          <w:szCs w:val="24"/>
        </w:rPr>
        <w:t>F</w:t>
      </w:r>
      <w:r w:rsidR="001C303F">
        <w:rPr>
          <w:sz w:val="24"/>
          <w:szCs w:val="24"/>
        </w:rPr>
        <w:t>or</w:t>
      </w:r>
      <w:r>
        <w:rPr>
          <w:sz w:val="24"/>
          <w:szCs w:val="24"/>
        </w:rPr>
        <w:t xml:space="preserve"> AIA trial fees, </w:t>
      </w:r>
      <w:r w:rsidR="00C50743">
        <w:rPr>
          <w:sz w:val="24"/>
          <w:szCs w:val="24"/>
        </w:rPr>
        <w:t xml:space="preserve">the </w:t>
      </w:r>
      <w:r w:rsidR="00494CAE">
        <w:rPr>
          <w:sz w:val="24"/>
          <w:szCs w:val="24"/>
        </w:rPr>
        <w:t xml:space="preserve">USPTO </w:t>
      </w:r>
      <w:r>
        <w:rPr>
          <w:sz w:val="24"/>
          <w:szCs w:val="24"/>
        </w:rPr>
        <w:t xml:space="preserve">followed the approach used for filing/search/examination </w:t>
      </w:r>
      <w:r w:rsidR="009A4186">
        <w:rPr>
          <w:sz w:val="24"/>
          <w:szCs w:val="24"/>
        </w:rPr>
        <w:t>fees</w:t>
      </w:r>
      <w:r>
        <w:rPr>
          <w:sz w:val="24"/>
          <w:szCs w:val="24"/>
        </w:rPr>
        <w:t xml:space="preserve"> by constructing a </w:t>
      </w:r>
      <w:r w:rsidRPr="00BA5822">
        <w:rPr>
          <w:sz w:val="24"/>
          <w:szCs w:val="24"/>
        </w:rPr>
        <w:t xml:space="preserve">longitudinal database by </w:t>
      </w:r>
      <w:r w:rsidR="00B81C75">
        <w:rPr>
          <w:sz w:val="24"/>
          <w:szCs w:val="24"/>
        </w:rPr>
        <w:t xml:space="preserve">technology area </w:t>
      </w:r>
      <w:r w:rsidRPr="00BA5822">
        <w:rPr>
          <w:sz w:val="24"/>
          <w:szCs w:val="24"/>
        </w:rPr>
        <w:t xml:space="preserve">and </w:t>
      </w:r>
      <w:r w:rsidR="001C303F">
        <w:rPr>
          <w:sz w:val="24"/>
          <w:szCs w:val="24"/>
        </w:rPr>
        <w:t xml:space="preserve">quarter. </w:t>
      </w:r>
      <w:r w:rsidR="00C50743">
        <w:rPr>
          <w:sz w:val="24"/>
          <w:szCs w:val="24"/>
        </w:rPr>
        <w:t xml:space="preserve">The </w:t>
      </w:r>
      <w:r w:rsidR="00C117A1">
        <w:rPr>
          <w:sz w:val="24"/>
          <w:szCs w:val="24"/>
        </w:rPr>
        <w:t>O</w:t>
      </w:r>
      <w:r w:rsidR="00494CAE">
        <w:rPr>
          <w:sz w:val="24"/>
          <w:szCs w:val="24"/>
        </w:rPr>
        <w:t xml:space="preserve">ffice </w:t>
      </w:r>
      <w:r w:rsidR="001C303F">
        <w:rPr>
          <w:sz w:val="24"/>
          <w:szCs w:val="24"/>
        </w:rPr>
        <w:t xml:space="preserve">specified a dynamic model of the number of petitions filed </w:t>
      </w:r>
      <w:r w:rsidR="00B81C75">
        <w:rPr>
          <w:sz w:val="24"/>
          <w:szCs w:val="24"/>
        </w:rPr>
        <w:t xml:space="preserve">in technology areas (defined as areas covered by USPTO </w:t>
      </w:r>
      <w:r w:rsidR="0028304D">
        <w:rPr>
          <w:sz w:val="24"/>
          <w:szCs w:val="24"/>
        </w:rPr>
        <w:t>t</w:t>
      </w:r>
      <w:r w:rsidR="00B81C75">
        <w:rPr>
          <w:sz w:val="24"/>
          <w:szCs w:val="24"/>
        </w:rPr>
        <w:t xml:space="preserve">echnology </w:t>
      </w:r>
      <w:r w:rsidR="0028304D">
        <w:rPr>
          <w:sz w:val="24"/>
          <w:szCs w:val="24"/>
        </w:rPr>
        <w:t>c</w:t>
      </w:r>
      <w:r w:rsidR="00B81C75">
        <w:rPr>
          <w:sz w:val="24"/>
          <w:szCs w:val="24"/>
        </w:rPr>
        <w:t xml:space="preserve">enters) </w:t>
      </w:r>
      <w:r w:rsidR="001C303F">
        <w:rPr>
          <w:sz w:val="24"/>
          <w:szCs w:val="24"/>
        </w:rPr>
        <w:t xml:space="preserve">per quarter and estimated this model using data from September </w:t>
      </w:r>
      <w:r w:rsidR="001C303F">
        <w:rPr>
          <w:sz w:val="24"/>
          <w:szCs w:val="24"/>
        </w:rPr>
        <w:lastRenderedPageBreak/>
        <w:t xml:space="preserve">2014 through March 2018. </w:t>
      </w:r>
      <w:r w:rsidRPr="00BA5822">
        <w:rPr>
          <w:sz w:val="24"/>
          <w:szCs w:val="24"/>
        </w:rPr>
        <w:t>The econometric model took the following form:</w:t>
      </w:r>
    </w:p>
    <w:p w14:paraId="57CA0E6D" w14:textId="6DD08F59" w:rsidR="00BA5822" w:rsidRPr="00063D54" w:rsidRDefault="00FC16F5" w:rsidP="00D5004D">
      <w:pPr>
        <w:spacing w:before="120" w:line="480" w:lineRule="auto"/>
        <w:ind w:left="720" w:right="14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sz w:val="20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petitions</m:t>
                      </m:r>
                    </m:e>
                  </m:d>
                </m:e>
              </m:func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it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sz w:val="20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petitions</m:t>
                      </m:r>
                    </m:e>
                  </m:d>
                </m:e>
              </m:func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i,t-1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sz w:val="20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petitions</m:t>
                      </m:r>
                    </m:e>
                  </m:d>
                </m:e>
              </m:func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i,t-2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sz w:val="20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RExpfee</m:t>
                      </m:r>
                    </m:e>
                  </m:d>
                </m:e>
              </m:func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i,t-1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i,t-1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j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θ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γ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4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4"/>
                </w:rPr>
                <m:t>it</m:t>
              </m:r>
            </m:sub>
          </m:sSub>
        </m:oMath>
      </m:oMathPara>
    </w:p>
    <w:p w14:paraId="7D984AD4" w14:textId="01A50365" w:rsidR="00BA5822" w:rsidRPr="00BA5822" w:rsidRDefault="00E16923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>w</w:t>
      </w:r>
      <w:r w:rsidRPr="00BA5822">
        <w:rPr>
          <w:sz w:val="24"/>
          <w:szCs w:val="24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ln⁡</m:t>
            </m:r>
            <m:r>
              <w:rPr>
                <w:rFonts w:ascii="Cambria Math" w:hAnsi="Cambria Math"/>
                <w:sz w:val="24"/>
                <w:szCs w:val="24"/>
              </w:rPr>
              <m:t>(petitions)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</m:oMath>
      <w:r w:rsidR="00BA5822" w:rsidRPr="00BA5822">
        <w:rPr>
          <w:sz w:val="24"/>
          <w:szCs w:val="24"/>
        </w:rPr>
        <w:t xml:space="preserve"> is the </w:t>
      </w:r>
      <w:r w:rsidR="00E13AC6">
        <w:rPr>
          <w:sz w:val="24"/>
          <w:szCs w:val="24"/>
        </w:rPr>
        <w:t xml:space="preserve">natural </w:t>
      </w:r>
      <w:r w:rsidR="00BA5822" w:rsidRPr="00BA5822">
        <w:rPr>
          <w:sz w:val="24"/>
          <w:szCs w:val="24"/>
        </w:rPr>
        <w:t xml:space="preserve">log number of </w:t>
      </w:r>
      <w:r w:rsidR="00B81C75">
        <w:rPr>
          <w:sz w:val="24"/>
          <w:szCs w:val="24"/>
        </w:rPr>
        <w:t>petition</w:t>
      </w:r>
      <w:r w:rsidR="003A43B9">
        <w:rPr>
          <w:sz w:val="24"/>
          <w:szCs w:val="24"/>
        </w:rPr>
        <w:t>s</w:t>
      </w:r>
      <w:r w:rsidR="00BA5822" w:rsidRPr="00BA5822">
        <w:rPr>
          <w:sz w:val="24"/>
          <w:szCs w:val="24"/>
        </w:rPr>
        <w:t xml:space="preserve"> fil</w:t>
      </w:r>
      <w:r w:rsidR="003A43B9">
        <w:rPr>
          <w:sz w:val="24"/>
          <w:szCs w:val="24"/>
        </w:rPr>
        <w:t>ed</w:t>
      </w:r>
      <w:r w:rsidR="00BA5822" w:rsidRPr="00BA5822">
        <w:rPr>
          <w:sz w:val="24"/>
          <w:szCs w:val="24"/>
        </w:rPr>
        <w:t xml:space="preserve"> in </w:t>
      </w:r>
      <w:r w:rsidR="00B81C75">
        <w:rPr>
          <w:sz w:val="24"/>
          <w:szCs w:val="24"/>
        </w:rPr>
        <w:t>technology area</w:t>
      </w:r>
      <w:r w:rsidR="00BA5822" w:rsidRPr="00BA5822">
        <w:rPr>
          <w:sz w:val="24"/>
          <w:szCs w:val="24"/>
        </w:rPr>
        <w:t xml:space="preserve"> i and quarter t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ln⁡</m:t>
            </m:r>
            <m:r>
              <w:rPr>
                <w:rFonts w:ascii="Cambria Math" w:hAnsi="Cambria Math"/>
                <w:sz w:val="24"/>
                <w:szCs w:val="24"/>
              </w:rPr>
              <m:t>(petitions)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i,t-1</m:t>
            </m:r>
          </m:sub>
        </m:sSub>
      </m:oMath>
      <w:r w:rsidR="00BA5822" w:rsidRPr="00BA5822">
        <w:rPr>
          <w:sz w:val="24"/>
          <w:szCs w:val="24"/>
        </w:rPr>
        <w:t xml:space="preserve"> </w:t>
      </w:r>
      <w:r w:rsidR="00B81C75">
        <w:rPr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ln⁡</m:t>
            </m:r>
            <m:r>
              <w:rPr>
                <w:rFonts w:ascii="Cambria Math" w:hAnsi="Cambria Math"/>
                <w:sz w:val="24"/>
                <w:szCs w:val="24"/>
              </w:rPr>
              <m:t>(petitions)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i,t-2</m:t>
            </m:r>
          </m:sub>
        </m:sSub>
      </m:oMath>
      <w:r w:rsidR="00B81C75">
        <w:rPr>
          <w:sz w:val="24"/>
          <w:szCs w:val="24"/>
        </w:rPr>
        <w:t xml:space="preserve"> are quarterly lags of petition filings to capture time dependencies.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RExpfee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i,t-1</m:t>
            </m:r>
          </m:sub>
        </m:sSub>
      </m:oMath>
      <w:r w:rsidR="00BA5822" w:rsidRPr="00BA5822">
        <w:rPr>
          <w:sz w:val="24"/>
          <w:szCs w:val="24"/>
        </w:rPr>
        <w:t xml:space="preserve"> is the </w:t>
      </w:r>
      <w:r w:rsidR="00B812F1">
        <w:rPr>
          <w:sz w:val="24"/>
          <w:szCs w:val="24"/>
        </w:rPr>
        <w:t xml:space="preserve">real </w:t>
      </w:r>
      <w:r w:rsidR="00BA5822" w:rsidRPr="00BA5822">
        <w:rPr>
          <w:sz w:val="24"/>
          <w:szCs w:val="24"/>
        </w:rPr>
        <w:t xml:space="preserve">expected fee </w:t>
      </w:r>
      <w:r w:rsidR="003A43B9">
        <w:rPr>
          <w:sz w:val="24"/>
          <w:szCs w:val="24"/>
        </w:rPr>
        <w:t>(i.e.</w:t>
      </w:r>
      <w:r w:rsidR="009A4186">
        <w:rPr>
          <w:sz w:val="24"/>
          <w:szCs w:val="24"/>
        </w:rPr>
        <w:t>,</w:t>
      </w:r>
      <w:r w:rsidR="003A43B9">
        <w:rPr>
          <w:sz w:val="24"/>
          <w:szCs w:val="24"/>
        </w:rPr>
        <w:t xml:space="preserve"> adjusted for inflation) </w:t>
      </w:r>
      <w:r w:rsidR="00BA5822" w:rsidRPr="00BA5822">
        <w:rPr>
          <w:sz w:val="24"/>
          <w:szCs w:val="24"/>
        </w:rPr>
        <w:t xml:space="preserve">facing potential </w:t>
      </w:r>
      <w:r w:rsidR="00B812F1">
        <w:rPr>
          <w:sz w:val="24"/>
          <w:szCs w:val="24"/>
        </w:rPr>
        <w:t>petitioners</w:t>
      </w:r>
      <w:r w:rsidR="00BA5822" w:rsidRPr="00BA5822">
        <w:rPr>
          <w:sz w:val="24"/>
          <w:szCs w:val="24"/>
        </w:rPr>
        <w:t xml:space="preserve"> before filing</w:t>
      </w:r>
      <w:r w:rsidR="003A43B9">
        <w:rPr>
          <w:sz w:val="24"/>
          <w:szCs w:val="24"/>
        </w:rPr>
        <w:t>. This was calculated based on historical data specific to each technology area</w:t>
      </w:r>
      <w:r w:rsidR="00BA5822" w:rsidRPr="00BA5822">
        <w:rPr>
          <w:sz w:val="24"/>
          <w:szCs w:val="24"/>
        </w:rPr>
        <w:t xml:space="preserve">. </w:t>
      </w:r>
      <w:r w:rsidR="00BA5822" w:rsidRPr="00BA5822">
        <w:rPr>
          <w:b/>
          <w:sz w:val="24"/>
          <w:szCs w:val="24"/>
        </w:rPr>
        <w:t>X</w:t>
      </w:r>
      <w:r w:rsidR="00BA5822" w:rsidRPr="00BA5822">
        <w:rPr>
          <w:sz w:val="24"/>
          <w:szCs w:val="24"/>
        </w:rPr>
        <w:t xml:space="preserve"> is a matrix of</w:t>
      </w:r>
      <w:r w:rsidR="003A43B9">
        <w:rPr>
          <w:sz w:val="24"/>
          <w:szCs w:val="24"/>
        </w:rPr>
        <w:t xml:space="preserve"> other factors and includes the petition type (i.e.</w:t>
      </w:r>
      <w:r w:rsidR="009A4186">
        <w:rPr>
          <w:sz w:val="24"/>
          <w:szCs w:val="24"/>
        </w:rPr>
        <w:t>,</w:t>
      </w:r>
      <w:r w:rsidR="003A43B9">
        <w:rPr>
          <w:sz w:val="24"/>
          <w:szCs w:val="24"/>
        </w:rPr>
        <w:t xml:space="preserve"> whether it was an </w:t>
      </w:r>
      <w:r w:rsidR="00C50743" w:rsidRPr="00E8607B">
        <w:rPr>
          <w:i/>
          <w:sz w:val="24"/>
          <w:szCs w:val="24"/>
        </w:rPr>
        <w:t>i</w:t>
      </w:r>
      <w:r w:rsidR="003A43B9" w:rsidRPr="00E8607B">
        <w:rPr>
          <w:i/>
          <w:sz w:val="24"/>
          <w:szCs w:val="24"/>
        </w:rPr>
        <w:t>nter</w:t>
      </w:r>
      <w:r w:rsidR="003A43B9">
        <w:rPr>
          <w:sz w:val="24"/>
          <w:szCs w:val="24"/>
        </w:rPr>
        <w:t xml:space="preserve"> </w:t>
      </w:r>
      <w:r w:rsidR="00C50743" w:rsidRPr="00E8607B">
        <w:rPr>
          <w:i/>
          <w:sz w:val="24"/>
          <w:szCs w:val="24"/>
        </w:rPr>
        <w:t>p</w:t>
      </w:r>
      <w:r w:rsidR="003A43B9" w:rsidRPr="00E8607B">
        <w:rPr>
          <w:i/>
          <w:sz w:val="24"/>
          <w:szCs w:val="24"/>
        </w:rPr>
        <w:t>artes</w:t>
      </w:r>
      <w:r w:rsidR="003A43B9">
        <w:rPr>
          <w:sz w:val="24"/>
          <w:szCs w:val="24"/>
        </w:rPr>
        <w:t xml:space="preserve"> </w:t>
      </w:r>
      <w:r w:rsidR="00C50743">
        <w:rPr>
          <w:sz w:val="24"/>
          <w:szCs w:val="24"/>
        </w:rPr>
        <w:t>r</w:t>
      </w:r>
      <w:r w:rsidR="003A43B9">
        <w:rPr>
          <w:sz w:val="24"/>
          <w:szCs w:val="24"/>
        </w:rPr>
        <w:t>eview or not), count of the independent claims for the petitioned patent, count of the dependent claims for the petitioned patent, an indicator for whether the petitioned patent was a P</w:t>
      </w:r>
      <w:r w:rsidR="0028304D">
        <w:rPr>
          <w:sz w:val="24"/>
          <w:szCs w:val="24"/>
        </w:rPr>
        <w:t xml:space="preserve">atent </w:t>
      </w:r>
      <w:r w:rsidR="003A43B9">
        <w:rPr>
          <w:sz w:val="24"/>
          <w:szCs w:val="24"/>
        </w:rPr>
        <w:t>C</w:t>
      </w:r>
      <w:r w:rsidR="0028304D">
        <w:rPr>
          <w:sz w:val="24"/>
          <w:szCs w:val="24"/>
        </w:rPr>
        <w:t xml:space="preserve">ooperation </w:t>
      </w:r>
      <w:r w:rsidR="003A43B9">
        <w:rPr>
          <w:sz w:val="24"/>
          <w:szCs w:val="24"/>
        </w:rPr>
        <w:t>T</w:t>
      </w:r>
      <w:r w:rsidR="0028304D">
        <w:rPr>
          <w:sz w:val="24"/>
          <w:szCs w:val="24"/>
        </w:rPr>
        <w:t>reaty (PCT)</w:t>
      </w:r>
      <w:r w:rsidR="003A43B9">
        <w:rPr>
          <w:sz w:val="24"/>
          <w:szCs w:val="24"/>
        </w:rPr>
        <w:t xml:space="preserve"> national stage entry, and a count of the number of petitions filed on the focal patent in the preceding quarter, which captures strategic behavior by petitioning entities.</w:t>
      </w:r>
      <w:r w:rsidR="00494CA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="00BA5822" w:rsidRPr="00BA5822">
        <w:rPr>
          <w:sz w:val="24"/>
          <w:szCs w:val="24"/>
        </w:rPr>
        <w:t xml:space="preserve"> represents a full set of quarterly time dummy variables to capture common influences across </w:t>
      </w:r>
      <w:r w:rsidR="003A43B9">
        <w:rPr>
          <w:sz w:val="24"/>
          <w:szCs w:val="24"/>
        </w:rPr>
        <w:t xml:space="preserve">technology areas </w:t>
      </w:r>
      <w:r w:rsidR="00BA5822" w:rsidRPr="00BA5822">
        <w:rPr>
          <w:sz w:val="24"/>
          <w:szCs w:val="24"/>
        </w:rPr>
        <w:t xml:space="preserve">due to the passage of time.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BA5822" w:rsidRPr="00BA5822">
        <w:rPr>
          <w:sz w:val="24"/>
          <w:szCs w:val="24"/>
        </w:rPr>
        <w:t xml:space="preserve"> is a </w:t>
      </w:r>
      <w:r w:rsidR="003A43B9">
        <w:rPr>
          <w:sz w:val="24"/>
          <w:szCs w:val="24"/>
        </w:rPr>
        <w:t>technology-</w:t>
      </w:r>
      <w:r w:rsidR="00BA5822" w:rsidRPr="00BA5822">
        <w:rPr>
          <w:sz w:val="24"/>
          <w:szCs w:val="24"/>
        </w:rPr>
        <w:t xml:space="preserve">specific variable that accounts for time constant characteristics of that individual </w:t>
      </w:r>
      <w:r w:rsidR="009C7410">
        <w:rPr>
          <w:sz w:val="24"/>
          <w:szCs w:val="24"/>
        </w:rPr>
        <w:t>technology area</w:t>
      </w:r>
      <w:r w:rsidR="00BA5822" w:rsidRPr="00BA5822">
        <w:rPr>
          <w:sz w:val="24"/>
          <w:szCs w:val="24"/>
        </w:rPr>
        <w:t xml:space="preserve">. </w:t>
      </w:r>
    </w:p>
    <w:p w14:paraId="567BA20C" w14:textId="6D64FBDE" w:rsidR="00BA5822" w:rsidRPr="00BA5822" w:rsidRDefault="00BA5822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 w:rsidRPr="00BA5822">
        <w:rPr>
          <w:sz w:val="24"/>
          <w:szCs w:val="24"/>
        </w:rPr>
        <w:t>As this is a dynamic model with panel data, the Arellano-Bond estimator</w:t>
      </w:r>
      <w:r w:rsidR="00C50743">
        <w:rPr>
          <w:sz w:val="24"/>
          <w:szCs w:val="24"/>
        </w:rPr>
        <w:t xml:space="preserve"> was used</w:t>
      </w:r>
      <w:r w:rsidRPr="00BA5822">
        <w:rPr>
          <w:sz w:val="24"/>
          <w:szCs w:val="24"/>
        </w:rPr>
        <w:t xml:space="preserve">. The coefficient on expected fee,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BA5822">
        <w:rPr>
          <w:sz w:val="24"/>
          <w:szCs w:val="24"/>
        </w:rPr>
        <w:t xml:space="preserve">, estimates the elasticity of </w:t>
      </w:r>
      <w:r w:rsidR="001C303F">
        <w:rPr>
          <w:sz w:val="24"/>
          <w:szCs w:val="24"/>
        </w:rPr>
        <w:t xml:space="preserve">AIA petitions </w:t>
      </w:r>
      <w:r w:rsidRPr="00BA5822">
        <w:rPr>
          <w:sz w:val="24"/>
          <w:szCs w:val="24"/>
        </w:rPr>
        <w:t>per quarter</w:t>
      </w:r>
      <w:r w:rsidR="00B3340D">
        <w:rPr>
          <w:sz w:val="24"/>
          <w:szCs w:val="24"/>
        </w:rPr>
        <w:t>—</w:t>
      </w:r>
      <w:r w:rsidRPr="00BA5822">
        <w:rPr>
          <w:sz w:val="24"/>
          <w:szCs w:val="24"/>
        </w:rPr>
        <w:t xml:space="preserve">the percentage change in new </w:t>
      </w:r>
      <w:r w:rsidR="001C303F">
        <w:rPr>
          <w:sz w:val="24"/>
          <w:szCs w:val="24"/>
        </w:rPr>
        <w:t>petition filings</w:t>
      </w:r>
      <w:r w:rsidRPr="00BA5822">
        <w:rPr>
          <w:sz w:val="24"/>
          <w:szCs w:val="24"/>
        </w:rPr>
        <w:t xml:space="preserve"> in response to a 1</w:t>
      </w:r>
      <w:r w:rsidR="0009544C">
        <w:rPr>
          <w:sz w:val="24"/>
          <w:szCs w:val="24"/>
        </w:rPr>
        <w:t xml:space="preserve"> percent</w:t>
      </w:r>
      <w:r w:rsidRPr="00BA5822">
        <w:rPr>
          <w:sz w:val="24"/>
          <w:szCs w:val="24"/>
        </w:rPr>
        <w:t xml:space="preserve"> change in expected fees. As shown in Table 1, the results indicate an </w:t>
      </w:r>
      <w:r w:rsidR="001C303F">
        <w:rPr>
          <w:sz w:val="24"/>
          <w:szCs w:val="24"/>
        </w:rPr>
        <w:t xml:space="preserve">AIA petition filing </w:t>
      </w:r>
      <w:r w:rsidRPr="00BA5822">
        <w:rPr>
          <w:sz w:val="24"/>
          <w:szCs w:val="24"/>
        </w:rPr>
        <w:t>fee elasticity of -0.1</w:t>
      </w:r>
      <w:r w:rsidR="001C303F">
        <w:rPr>
          <w:sz w:val="24"/>
          <w:szCs w:val="24"/>
        </w:rPr>
        <w:t>5</w:t>
      </w:r>
      <w:r w:rsidRPr="00BA5822">
        <w:rPr>
          <w:sz w:val="24"/>
          <w:szCs w:val="24"/>
        </w:rPr>
        <w:t xml:space="preserve"> with a 95</w:t>
      </w:r>
      <w:r w:rsidR="0009544C">
        <w:rPr>
          <w:sz w:val="24"/>
          <w:szCs w:val="24"/>
        </w:rPr>
        <w:t xml:space="preserve"> percent</w:t>
      </w:r>
      <w:r w:rsidRPr="00BA5822">
        <w:rPr>
          <w:sz w:val="24"/>
          <w:szCs w:val="24"/>
        </w:rPr>
        <w:t xml:space="preserve"> confidence interval ranging from -0.2</w:t>
      </w:r>
      <w:r w:rsidR="001C303F">
        <w:rPr>
          <w:sz w:val="24"/>
          <w:szCs w:val="24"/>
        </w:rPr>
        <w:t>5</w:t>
      </w:r>
      <w:r w:rsidRPr="00BA5822">
        <w:rPr>
          <w:sz w:val="24"/>
          <w:szCs w:val="24"/>
        </w:rPr>
        <w:t xml:space="preserve"> to -0.06.</w:t>
      </w:r>
    </w:p>
    <w:p w14:paraId="132AB793" w14:textId="770351CB" w:rsidR="00FF6218" w:rsidRPr="0099688E" w:rsidRDefault="00FF6218" w:rsidP="00D5004D">
      <w:pPr>
        <w:pStyle w:val="BodyText"/>
        <w:spacing w:before="120" w:line="480" w:lineRule="auto"/>
        <w:ind w:left="144" w:right="144"/>
        <w:rPr>
          <w:b/>
        </w:rPr>
      </w:pPr>
      <w:r w:rsidRPr="0099688E">
        <w:rPr>
          <w:b/>
        </w:rPr>
        <w:t xml:space="preserve">Maintenance </w:t>
      </w:r>
      <w:r w:rsidR="00C50743" w:rsidRPr="0099688E">
        <w:rPr>
          <w:b/>
        </w:rPr>
        <w:t>F</w:t>
      </w:r>
      <w:r w:rsidRPr="0099688E">
        <w:rPr>
          <w:b/>
        </w:rPr>
        <w:t>ees</w:t>
      </w:r>
    </w:p>
    <w:p w14:paraId="48314694" w14:textId="3950620F" w:rsidR="00E85CE9" w:rsidRDefault="00FE432E" w:rsidP="00D5004D">
      <w:pPr>
        <w:spacing w:before="120" w:line="480" w:lineRule="auto"/>
        <w:ind w:left="144" w:right="144" w:firstLine="576"/>
        <w:rPr>
          <w:sz w:val="24"/>
          <w:szCs w:val="24"/>
        </w:rPr>
      </w:pPr>
      <w:r>
        <w:rPr>
          <w:sz w:val="24"/>
          <w:szCs w:val="24"/>
        </w:rPr>
        <w:t xml:space="preserve">The elasticity estimates for the three </w:t>
      </w:r>
      <w:r w:rsidR="00C50743">
        <w:rPr>
          <w:sz w:val="24"/>
          <w:szCs w:val="24"/>
        </w:rPr>
        <w:t xml:space="preserve">stages of </w:t>
      </w:r>
      <w:r>
        <w:rPr>
          <w:sz w:val="24"/>
          <w:szCs w:val="24"/>
        </w:rPr>
        <w:t xml:space="preserve">maintenance payments were determined based on the </w:t>
      </w:r>
      <w:r w:rsidR="00192447">
        <w:rPr>
          <w:sz w:val="24"/>
          <w:szCs w:val="24"/>
        </w:rPr>
        <w:t xml:space="preserve">fee changes in the </w:t>
      </w:r>
      <w:r w:rsidR="00F31E7E">
        <w:rPr>
          <w:sz w:val="24"/>
          <w:szCs w:val="24"/>
        </w:rPr>
        <w:t>2013 rule</w:t>
      </w:r>
      <w:r w:rsidR="00B3340D">
        <w:rPr>
          <w:sz w:val="24"/>
          <w:szCs w:val="24"/>
        </w:rPr>
        <w:t>,</w:t>
      </w:r>
      <w:r w:rsidR="00F31E7E">
        <w:rPr>
          <w:sz w:val="24"/>
          <w:szCs w:val="24"/>
        </w:rPr>
        <w:t xml:space="preserve"> Setting and Adjusting Patent Fees</w:t>
      </w:r>
      <w:r>
        <w:rPr>
          <w:sz w:val="24"/>
          <w:szCs w:val="24"/>
        </w:rPr>
        <w:t xml:space="preserve">. </w:t>
      </w:r>
      <w:r w:rsidR="00192447">
        <w:rPr>
          <w:sz w:val="24"/>
          <w:szCs w:val="24"/>
        </w:rPr>
        <w:t xml:space="preserve">Effective March </w:t>
      </w:r>
      <w:r w:rsidR="00192447">
        <w:rPr>
          <w:sz w:val="24"/>
          <w:szCs w:val="24"/>
        </w:rPr>
        <w:lastRenderedPageBreak/>
        <w:t>2013</w:t>
      </w:r>
      <w:r>
        <w:rPr>
          <w:sz w:val="24"/>
          <w:szCs w:val="24"/>
        </w:rPr>
        <w:t xml:space="preserve">, maintenance fees for the first </w:t>
      </w:r>
      <w:r w:rsidR="00A6714A">
        <w:rPr>
          <w:sz w:val="24"/>
          <w:szCs w:val="24"/>
        </w:rPr>
        <w:t xml:space="preserve">stage </w:t>
      </w:r>
      <w:r>
        <w:rPr>
          <w:sz w:val="24"/>
          <w:szCs w:val="24"/>
        </w:rPr>
        <w:t>renewal payment i</w:t>
      </w:r>
      <w:r w:rsidR="00BD7CA0" w:rsidRPr="009B7FE7">
        <w:rPr>
          <w:sz w:val="24"/>
          <w:szCs w:val="24"/>
        </w:rPr>
        <w:t>ncreased by 39</w:t>
      </w:r>
      <w:r w:rsidR="0009544C">
        <w:rPr>
          <w:sz w:val="24"/>
          <w:szCs w:val="24"/>
        </w:rPr>
        <w:t xml:space="preserve"> percent</w:t>
      </w:r>
      <w:r w:rsidR="00A6714A">
        <w:rPr>
          <w:sz w:val="24"/>
          <w:szCs w:val="24"/>
        </w:rPr>
        <w:t xml:space="preserve"> ($1,150 to $1,600)</w:t>
      </w:r>
      <w:r>
        <w:rPr>
          <w:sz w:val="24"/>
          <w:szCs w:val="24"/>
        </w:rPr>
        <w:t xml:space="preserve">, </w:t>
      </w:r>
      <w:r w:rsidR="00C3671D">
        <w:rPr>
          <w:sz w:val="24"/>
          <w:szCs w:val="24"/>
        </w:rPr>
        <w:t xml:space="preserve">the second </w:t>
      </w:r>
      <w:r w:rsidR="00A6714A">
        <w:rPr>
          <w:sz w:val="24"/>
          <w:szCs w:val="24"/>
        </w:rPr>
        <w:t xml:space="preserve">stage </w:t>
      </w:r>
      <w:r w:rsidR="00C3671D">
        <w:rPr>
          <w:sz w:val="24"/>
          <w:szCs w:val="24"/>
        </w:rPr>
        <w:t xml:space="preserve">renewal period fee increased </w:t>
      </w:r>
      <w:r>
        <w:rPr>
          <w:sz w:val="24"/>
          <w:szCs w:val="24"/>
        </w:rPr>
        <w:t xml:space="preserve">by </w:t>
      </w:r>
      <w:r w:rsidR="00BD7CA0" w:rsidRPr="009B7FE7">
        <w:rPr>
          <w:sz w:val="24"/>
          <w:szCs w:val="24"/>
        </w:rPr>
        <w:t>24</w:t>
      </w:r>
      <w:r w:rsidR="0009544C">
        <w:rPr>
          <w:sz w:val="24"/>
          <w:szCs w:val="24"/>
        </w:rPr>
        <w:t xml:space="preserve"> percent</w:t>
      </w:r>
      <w:r w:rsidR="00A6714A">
        <w:rPr>
          <w:sz w:val="24"/>
          <w:szCs w:val="24"/>
        </w:rPr>
        <w:t xml:space="preserve"> ($2,900 to $3,600)</w:t>
      </w:r>
      <w:r>
        <w:rPr>
          <w:sz w:val="24"/>
          <w:szCs w:val="24"/>
        </w:rPr>
        <w:t xml:space="preserve"> </w:t>
      </w:r>
      <w:r w:rsidR="00C3671D">
        <w:rPr>
          <w:sz w:val="24"/>
          <w:szCs w:val="24"/>
        </w:rPr>
        <w:t xml:space="preserve">and the third </w:t>
      </w:r>
      <w:r w:rsidR="00A6714A">
        <w:rPr>
          <w:sz w:val="24"/>
          <w:szCs w:val="24"/>
        </w:rPr>
        <w:t xml:space="preserve">stage </w:t>
      </w:r>
      <w:r w:rsidR="00C3671D">
        <w:rPr>
          <w:sz w:val="24"/>
          <w:szCs w:val="24"/>
        </w:rPr>
        <w:t xml:space="preserve">renewal period fee increased by </w:t>
      </w:r>
      <w:r w:rsidR="00BD7CA0" w:rsidRPr="009B7FE7">
        <w:rPr>
          <w:sz w:val="24"/>
          <w:szCs w:val="24"/>
        </w:rPr>
        <w:t>54</w:t>
      </w:r>
      <w:r w:rsidR="0009544C">
        <w:rPr>
          <w:sz w:val="24"/>
          <w:szCs w:val="24"/>
        </w:rPr>
        <w:t xml:space="preserve"> percent</w:t>
      </w:r>
      <w:r w:rsidR="00A6714A">
        <w:rPr>
          <w:sz w:val="24"/>
          <w:szCs w:val="24"/>
        </w:rPr>
        <w:t xml:space="preserve"> ($4,810 to $7,400)</w:t>
      </w:r>
      <w:r w:rsidR="0073727D" w:rsidRPr="009B7FE7">
        <w:rPr>
          <w:sz w:val="24"/>
          <w:szCs w:val="24"/>
        </w:rPr>
        <w:t xml:space="preserve">. </w:t>
      </w:r>
      <w:r w:rsidR="00A6714A">
        <w:rPr>
          <w:sz w:val="24"/>
          <w:szCs w:val="24"/>
        </w:rPr>
        <w:t xml:space="preserve">The </w:t>
      </w:r>
      <w:r w:rsidR="00494CAE">
        <w:rPr>
          <w:sz w:val="24"/>
          <w:szCs w:val="24"/>
        </w:rPr>
        <w:t xml:space="preserve">USPTO </w:t>
      </w:r>
      <w:r>
        <w:rPr>
          <w:sz w:val="24"/>
          <w:szCs w:val="24"/>
        </w:rPr>
        <w:t>use</w:t>
      </w:r>
      <w:r w:rsidR="00A6714A">
        <w:rPr>
          <w:sz w:val="24"/>
          <w:szCs w:val="24"/>
        </w:rPr>
        <w:t>d</w:t>
      </w:r>
      <w:r>
        <w:rPr>
          <w:sz w:val="24"/>
          <w:szCs w:val="24"/>
        </w:rPr>
        <w:t xml:space="preserve"> a before/after design by forming a patent-level dataset using </w:t>
      </w:r>
      <w:r w:rsidRPr="009B7FE7">
        <w:rPr>
          <w:sz w:val="24"/>
          <w:szCs w:val="24"/>
        </w:rPr>
        <w:t xml:space="preserve">all granted patents with a maintenance fee </w:t>
      </w:r>
      <w:r>
        <w:rPr>
          <w:sz w:val="24"/>
          <w:szCs w:val="24"/>
        </w:rPr>
        <w:t xml:space="preserve">due </w:t>
      </w:r>
      <w:r w:rsidRPr="009B7FE7">
        <w:rPr>
          <w:sz w:val="24"/>
          <w:szCs w:val="24"/>
        </w:rPr>
        <w:t xml:space="preserve">date within the six months prior to the March 2013 fee change and </w:t>
      </w:r>
      <w:r>
        <w:rPr>
          <w:sz w:val="24"/>
          <w:szCs w:val="24"/>
        </w:rPr>
        <w:t xml:space="preserve">from six months to one year </w:t>
      </w:r>
      <w:r w:rsidRPr="009B7FE7">
        <w:rPr>
          <w:sz w:val="24"/>
          <w:szCs w:val="24"/>
        </w:rPr>
        <w:t xml:space="preserve">after the March 2013 fee change. </w:t>
      </w:r>
      <w:r>
        <w:rPr>
          <w:sz w:val="24"/>
          <w:szCs w:val="24"/>
        </w:rPr>
        <w:t xml:space="preserve">The </w:t>
      </w:r>
      <w:r w:rsidRPr="009B7FE7">
        <w:rPr>
          <w:sz w:val="24"/>
          <w:szCs w:val="24"/>
        </w:rPr>
        <w:t xml:space="preserve">second window </w:t>
      </w:r>
      <w:r>
        <w:rPr>
          <w:sz w:val="24"/>
          <w:szCs w:val="24"/>
        </w:rPr>
        <w:t xml:space="preserve">is </w:t>
      </w:r>
      <w:r w:rsidRPr="009B7FE7">
        <w:rPr>
          <w:sz w:val="24"/>
          <w:szCs w:val="24"/>
        </w:rPr>
        <w:t xml:space="preserve">six months </w:t>
      </w:r>
      <w:r>
        <w:rPr>
          <w:sz w:val="24"/>
          <w:szCs w:val="24"/>
        </w:rPr>
        <w:t>later to avoid problems with early payments</w:t>
      </w:r>
      <w:r w:rsidR="00B3340D">
        <w:rPr>
          <w:sz w:val="24"/>
          <w:szCs w:val="24"/>
        </w:rPr>
        <w:t>,</w:t>
      </w:r>
      <w:r>
        <w:rPr>
          <w:sz w:val="24"/>
          <w:szCs w:val="24"/>
        </w:rPr>
        <w:t xml:space="preserve"> as </w:t>
      </w:r>
      <w:r w:rsidRPr="009B7FE7">
        <w:rPr>
          <w:sz w:val="24"/>
          <w:szCs w:val="24"/>
        </w:rPr>
        <w:t>patent owners have the option of paying</w:t>
      </w:r>
      <w:r w:rsidR="00494CAE">
        <w:rPr>
          <w:sz w:val="24"/>
          <w:szCs w:val="24"/>
        </w:rPr>
        <w:t xml:space="preserve"> the</w:t>
      </w:r>
      <w:r w:rsidRPr="009B7FE7">
        <w:rPr>
          <w:sz w:val="24"/>
          <w:szCs w:val="24"/>
        </w:rPr>
        <w:t xml:space="preserve"> maintenance fee up to six months before the date </w:t>
      </w:r>
      <w:r w:rsidR="00192447">
        <w:rPr>
          <w:sz w:val="24"/>
          <w:szCs w:val="24"/>
        </w:rPr>
        <w:t>o</w:t>
      </w:r>
      <w:r w:rsidRPr="009B7FE7">
        <w:rPr>
          <w:sz w:val="24"/>
          <w:szCs w:val="24"/>
        </w:rPr>
        <w:t xml:space="preserve">n which </w:t>
      </w:r>
      <w:r w:rsidR="00494CAE">
        <w:rPr>
          <w:sz w:val="24"/>
          <w:szCs w:val="24"/>
        </w:rPr>
        <w:t>it</w:t>
      </w:r>
      <w:r w:rsidRPr="009B7FE7">
        <w:rPr>
          <w:sz w:val="24"/>
          <w:szCs w:val="24"/>
        </w:rPr>
        <w:t xml:space="preserve"> is due.</w:t>
      </w:r>
    </w:p>
    <w:p w14:paraId="50681184" w14:textId="0CFD42C8" w:rsidR="00BD7CA0" w:rsidRPr="009B7FE7" w:rsidRDefault="00C3671D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3125CD">
        <w:rPr>
          <w:sz w:val="24"/>
          <w:szCs w:val="24"/>
        </w:rPr>
        <w:t xml:space="preserve">Similar to </w:t>
      </w:r>
      <w:r w:rsidR="009A4186">
        <w:rPr>
          <w:sz w:val="24"/>
          <w:szCs w:val="24"/>
        </w:rPr>
        <w:t>previous</w:t>
      </w:r>
      <w:r w:rsidR="003125CD">
        <w:rPr>
          <w:sz w:val="24"/>
          <w:szCs w:val="24"/>
        </w:rPr>
        <w:t xml:space="preserve"> descriptions, </w:t>
      </w:r>
      <w:r w:rsidR="00A6714A">
        <w:rPr>
          <w:sz w:val="24"/>
          <w:szCs w:val="24"/>
        </w:rPr>
        <w:t xml:space="preserve">the </w:t>
      </w:r>
      <w:r w:rsidR="00494CAE">
        <w:rPr>
          <w:sz w:val="24"/>
          <w:szCs w:val="24"/>
        </w:rPr>
        <w:t>USPTO</w:t>
      </w:r>
      <w:r w:rsidR="008867CC">
        <w:rPr>
          <w:sz w:val="24"/>
          <w:szCs w:val="24"/>
        </w:rPr>
        <w:t xml:space="preserve"> used models to</w:t>
      </w:r>
      <w:r w:rsidR="00494CAE" w:rsidRPr="009B7FE7">
        <w:rPr>
          <w:sz w:val="24"/>
          <w:szCs w:val="24"/>
        </w:rPr>
        <w:t xml:space="preserve"> </w:t>
      </w:r>
      <w:r w:rsidR="00BD7CA0" w:rsidRPr="009B7FE7">
        <w:rPr>
          <w:sz w:val="24"/>
          <w:szCs w:val="24"/>
        </w:rPr>
        <w:t>estimate the probability that an a</w:t>
      </w:r>
      <w:r w:rsidR="00442B2D" w:rsidRPr="009B7FE7">
        <w:rPr>
          <w:sz w:val="24"/>
          <w:szCs w:val="24"/>
        </w:rPr>
        <w:t>ssignee would pay each respective maintenance fee</w:t>
      </w:r>
      <w:r w:rsidR="00B3340D">
        <w:rPr>
          <w:sz w:val="24"/>
          <w:szCs w:val="24"/>
        </w:rPr>
        <w:t>,</w:t>
      </w:r>
      <w:r w:rsidR="00442B2D" w:rsidRPr="009B7FE7">
        <w:rPr>
          <w:sz w:val="24"/>
          <w:szCs w:val="24"/>
        </w:rPr>
        <w:t xml:space="preserve"> conditional on </w:t>
      </w:r>
      <w:r w:rsidR="00BD7CA0" w:rsidRPr="009B7FE7">
        <w:rPr>
          <w:sz w:val="24"/>
          <w:szCs w:val="24"/>
        </w:rPr>
        <w:t xml:space="preserve">whether the </w:t>
      </w:r>
      <w:r w:rsidR="00442B2D" w:rsidRPr="009B7FE7">
        <w:rPr>
          <w:sz w:val="24"/>
          <w:szCs w:val="24"/>
        </w:rPr>
        <w:t>maintenance fee payment was due</w:t>
      </w:r>
      <w:r w:rsidR="00BD7CA0" w:rsidRPr="009B7FE7">
        <w:rPr>
          <w:sz w:val="24"/>
          <w:szCs w:val="24"/>
        </w:rPr>
        <w:t xml:space="preserve"> before or after the fee change in 2013. Among the control variables were </w:t>
      </w:r>
      <w:r w:rsidR="000E3976" w:rsidRPr="009B7FE7">
        <w:rPr>
          <w:sz w:val="24"/>
          <w:szCs w:val="24"/>
        </w:rPr>
        <w:t>patent entity size, technology work group fixed effects, filing year fixed effects, fee</w:t>
      </w:r>
      <w:r w:rsidR="002A2D14">
        <w:rPr>
          <w:sz w:val="24"/>
          <w:szCs w:val="24"/>
        </w:rPr>
        <w:t>s</w:t>
      </w:r>
      <w:r w:rsidR="000E3976" w:rsidRPr="009B7FE7">
        <w:rPr>
          <w:sz w:val="24"/>
          <w:szCs w:val="24"/>
        </w:rPr>
        <w:t xml:space="preserve"> paid previously related t</w:t>
      </w:r>
      <w:r w:rsidR="00A6714A">
        <w:rPr>
          <w:sz w:val="24"/>
          <w:szCs w:val="24"/>
        </w:rPr>
        <w:t>o</w:t>
      </w:r>
      <w:r w:rsidR="000E3976" w:rsidRPr="009B7FE7">
        <w:rPr>
          <w:sz w:val="24"/>
          <w:szCs w:val="24"/>
        </w:rPr>
        <w:t xml:space="preserve"> each patent, </w:t>
      </w:r>
      <w:r w:rsidR="00971438" w:rsidRPr="009B7FE7">
        <w:rPr>
          <w:sz w:val="24"/>
          <w:szCs w:val="24"/>
        </w:rPr>
        <w:t xml:space="preserve">the </w:t>
      </w:r>
      <w:r w:rsidR="000E3976" w:rsidRPr="009B7FE7">
        <w:rPr>
          <w:sz w:val="24"/>
          <w:szCs w:val="24"/>
        </w:rPr>
        <w:t xml:space="preserve">number of allowed claims, </w:t>
      </w:r>
      <w:r w:rsidR="00971438" w:rsidRPr="009B7FE7">
        <w:rPr>
          <w:sz w:val="24"/>
          <w:szCs w:val="24"/>
        </w:rPr>
        <w:t xml:space="preserve">the number of </w:t>
      </w:r>
      <w:r w:rsidR="000E3976" w:rsidRPr="009B7FE7">
        <w:rPr>
          <w:sz w:val="24"/>
          <w:szCs w:val="24"/>
        </w:rPr>
        <w:t xml:space="preserve">forward citations </w:t>
      </w:r>
      <w:r w:rsidR="00971438" w:rsidRPr="009B7FE7">
        <w:rPr>
          <w:sz w:val="24"/>
          <w:szCs w:val="24"/>
        </w:rPr>
        <w:t>prior to</w:t>
      </w:r>
      <w:r w:rsidR="000E3976" w:rsidRPr="009B7FE7">
        <w:rPr>
          <w:sz w:val="24"/>
          <w:szCs w:val="24"/>
        </w:rPr>
        <w:t xml:space="preserve"> each maintenance date, and the number of inventors</w:t>
      </w:r>
      <w:r w:rsidR="00BD7CA0" w:rsidRPr="009B7FE7">
        <w:rPr>
          <w:sz w:val="24"/>
          <w:szCs w:val="24"/>
        </w:rPr>
        <w:t xml:space="preserve">. </w:t>
      </w:r>
      <w:r w:rsidR="00A6714A">
        <w:rPr>
          <w:sz w:val="24"/>
          <w:szCs w:val="24"/>
        </w:rPr>
        <w:t>S</w:t>
      </w:r>
      <w:r w:rsidR="00BD7CA0" w:rsidRPr="009B7FE7">
        <w:rPr>
          <w:sz w:val="24"/>
          <w:szCs w:val="24"/>
        </w:rPr>
        <w:t>eparate models for large and small entities</w:t>
      </w:r>
      <w:r w:rsidR="00A6714A">
        <w:rPr>
          <w:sz w:val="24"/>
          <w:szCs w:val="24"/>
        </w:rPr>
        <w:t xml:space="preserve"> were estimated</w:t>
      </w:r>
      <w:r w:rsidR="00BD7CA0" w:rsidRPr="009B7FE7">
        <w:rPr>
          <w:sz w:val="24"/>
          <w:szCs w:val="24"/>
        </w:rPr>
        <w:t xml:space="preserve">. </w:t>
      </w:r>
      <w:r w:rsidR="00A6714A">
        <w:rPr>
          <w:sz w:val="24"/>
          <w:szCs w:val="24"/>
        </w:rPr>
        <w:t xml:space="preserve">The </w:t>
      </w:r>
      <w:r w:rsidR="00C117A1">
        <w:rPr>
          <w:sz w:val="24"/>
          <w:szCs w:val="24"/>
        </w:rPr>
        <w:t>O</w:t>
      </w:r>
      <w:r w:rsidR="00494CAE">
        <w:rPr>
          <w:sz w:val="24"/>
          <w:szCs w:val="24"/>
        </w:rPr>
        <w:t>ffice</w:t>
      </w:r>
      <w:r w:rsidR="00494CAE" w:rsidRPr="009B7FE7">
        <w:rPr>
          <w:sz w:val="24"/>
          <w:szCs w:val="24"/>
        </w:rPr>
        <w:t xml:space="preserve"> </w:t>
      </w:r>
      <w:r w:rsidR="00BD7CA0" w:rsidRPr="009B7FE7">
        <w:rPr>
          <w:sz w:val="24"/>
          <w:szCs w:val="24"/>
        </w:rPr>
        <w:t xml:space="preserve">estimated the elasticities using the same methods described above in </w:t>
      </w:r>
      <w:r w:rsidR="00B3340D">
        <w:rPr>
          <w:sz w:val="24"/>
          <w:szCs w:val="24"/>
        </w:rPr>
        <w:t>the</w:t>
      </w:r>
      <w:r w:rsidR="00B3340D" w:rsidRPr="009B7FE7">
        <w:rPr>
          <w:sz w:val="24"/>
          <w:szCs w:val="24"/>
        </w:rPr>
        <w:t xml:space="preserve"> </w:t>
      </w:r>
      <w:r w:rsidR="00BD7CA0" w:rsidRPr="009B7FE7">
        <w:rPr>
          <w:sz w:val="24"/>
          <w:szCs w:val="24"/>
        </w:rPr>
        <w:t xml:space="preserve">description of </w:t>
      </w:r>
      <w:r w:rsidR="00A6714A">
        <w:rPr>
          <w:sz w:val="24"/>
          <w:szCs w:val="24"/>
        </w:rPr>
        <w:t>excess independent claim, excess total claim, excess page</w:t>
      </w:r>
      <w:r w:rsidR="009A4186">
        <w:rPr>
          <w:sz w:val="24"/>
          <w:szCs w:val="24"/>
        </w:rPr>
        <w:t>,</w:t>
      </w:r>
      <w:r w:rsidR="00A6714A">
        <w:rPr>
          <w:sz w:val="24"/>
          <w:szCs w:val="24"/>
        </w:rPr>
        <w:t xml:space="preserve"> and issue fees</w:t>
      </w:r>
      <w:r w:rsidR="00BD7CA0" w:rsidRPr="009B7FE7">
        <w:rPr>
          <w:sz w:val="24"/>
          <w:szCs w:val="24"/>
        </w:rPr>
        <w:t xml:space="preserve">. </w:t>
      </w:r>
    </w:p>
    <w:p w14:paraId="4374E20D" w14:textId="214C8B16" w:rsidR="00BD7CA0" w:rsidRPr="009B7FE7" w:rsidRDefault="003125CD" w:rsidP="00D5004D">
      <w:pPr>
        <w:spacing w:before="120" w:line="480" w:lineRule="auto"/>
        <w:ind w:left="144" w:right="144"/>
        <w:rPr>
          <w:sz w:val="24"/>
          <w:szCs w:val="24"/>
        </w:rPr>
      </w:pPr>
      <w:r>
        <w:rPr>
          <w:sz w:val="24"/>
          <w:szCs w:val="24"/>
        </w:rPr>
        <w:tab/>
      </w:r>
      <w:r w:rsidR="00A6714A">
        <w:rPr>
          <w:sz w:val="24"/>
          <w:szCs w:val="24"/>
        </w:rPr>
        <w:t>The</w:t>
      </w:r>
      <w:r w:rsidR="00BD7CA0" w:rsidRPr="009B7FE7">
        <w:rPr>
          <w:sz w:val="24"/>
          <w:szCs w:val="24"/>
        </w:rPr>
        <w:t xml:space="preserve"> results</w:t>
      </w:r>
      <w:r w:rsidR="00411991" w:rsidRPr="009B7FE7">
        <w:rPr>
          <w:sz w:val="24"/>
          <w:szCs w:val="24"/>
        </w:rPr>
        <w:t xml:space="preserve"> for large entities indicate elasticities</w:t>
      </w:r>
      <w:r w:rsidR="00BD7CA0" w:rsidRPr="009B7FE7">
        <w:rPr>
          <w:sz w:val="24"/>
          <w:szCs w:val="24"/>
        </w:rPr>
        <w:t xml:space="preserve"> of -0.</w:t>
      </w:r>
      <w:r w:rsidR="00411991" w:rsidRPr="009B7FE7">
        <w:rPr>
          <w:sz w:val="24"/>
          <w:szCs w:val="24"/>
        </w:rPr>
        <w:t>06, -</w:t>
      </w:r>
      <w:r w:rsidR="00192447">
        <w:rPr>
          <w:sz w:val="24"/>
          <w:szCs w:val="24"/>
        </w:rPr>
        <w:t>0</w:t>
      </w:r>
      <w:r w:rsidR="00411991" w:rsidRPr="009B7FE7">
        <w:rPr>
          <w:sz w:val="24"/>
          <w:szCs w:val="24"/>
        </w:rPr>
        <w:t>.10, and -</w:t>
      </w:r>
      <w:r w:rsidR="00192447">
        <w:rPr>
          <w:sz w:val="24"/>
          <w:szCs w:val="24"/>
        </w:rPr>
        <w:t>0</w:t>
      </w:r>
      <w:r w:rsidR="00411991" w:rsidRPr="009B7FE7">
        <w:rPr>
          <w:sz w:val="24"/>
          <w:szCs w:val="24"/>
        </w:rPr>
        <w:t>.1</w:t>
      </w:r>
      <w:r w:rsidR="00DF221E">
        <w:rPr>
          <w:sz w:val="24"/>
          <w:szCs w:val="24"/>
        </w:rPr>
        <w:t>1</w:t>
      </w:r>
      <w:r w:rsidR="00411991" w:rsidRPr="009B7FE7">
        <w:rPr>
          <w:sz w:val="24"/>
          <w:szCs w:val="24"/>
        </w:rPr>
        <w:t xml:space="preserve"> for the first, second, and third </w:t>
      </w:r>
      <w:r w:rsidR="00A6714A">
        <w:rPr>
          <w:sz w:val="24"/>
          <w:szCs w:val="24"/>
        </w:rPr>
        <w:t xml:space="preserve">stage </w:t>
      </w:r>
      <w:r w:rsidR="00411991" w:rsidRPr="009B7FE7">
        <w:rPr>
          <w:sz w:val="24"/>
          <w:szCs w:val="24"/>
        </w:rPr>
        <w:t>maintenance fees, respectively</w:t>
      </w:r>
      <w:r w:rsidR="00FE4109" w:rsidRPr="009B7FE7">
        <w:rPr>
          <w:sz w:val="24"/>
          <w:szCs w:val="24"/>
        </w:rPr>
        <w:t xml:space="preserve"> (</w:t>
      </w:r>
      <w:r w:rsidR="00FE4109" w:rsidRPr="0099688E">
        <w:rPr>
          <w:i/>
          <w:sz w:val="24"/>
          <w:szCs w:val="24"/>
        </w:rPr>
        <w:t>see</w:t>
      </w:r>
      <w:r w:rsidR="00FE4109" w:rsidRPr="009B7FE7">
        <w:rPr>
          <w:sz w:val="24"/>
          <w:szCs w:val="24"/>
        </w:rPr>
        <w:t xml:space="preserve"> Table 1)</w:t>
      </w:r>
      <w:r w:rsidR="00BD7CA0" w:rsidRPr="009B7FE7">
        <w:rPr>
          <w:sz w:val="24"/>
          <w:szCs w:val="24"/>
        </w:rPr>
        <w:t>.</w:t>
      </w:r>
      <w:r w:rsidR="00411991" w:rsidRPr="009B7FE7">
        <w:rPr>
          <w:sz w:val="24"/>
          <w:szCs w:val="24"/>
        </w:rPr>
        <w:t xml:space="preserve"> For small entities, </w:t>
      </w:r>
      <w:r w:rsidR="00A6714A">
        <w:rPr>
          <w:sz w:val="24"/>
          <w:szCs w:val="24"/>
        </w:rPr>
        <w:t>the</w:t>
      </w:r>
      <w:r w:rsidR="00411991" w:rsidRPr="009B7FE7">
        <w:rPr>
          <w:sz w:val="24"/>
          <w:szCs w:val="24"/>
        </w:rPr>
        <w:t xml:space="preserve"> results indicate elasticities of -0.06, -</w:t>
      </w:r>
      <w:r w:rsidR="00192447">
        <w:rPr>
          <w:sz w:val="24"/>
          <w:szCs w:val="24"/>
        </w:rPr>
        <w:t>0</w:t>
      </w:r>
      <w:r w:rsidR="00411991" w:rsidRPr="009B7FE7">
        <w:rPr>
          <w:sz w:val="24"/>
          <w:szCs w:val="24"/>
        </w:rPr>
        <w:t>.1</w:t>
      </w:r>
      <w:r w:rsidR="00DF221E">
        <w:rPr>
          <w:sz w:val="24"/>
          <w:szCs w:val="24"/>
        </w:rPr>
        <w:t>2</w:t>
      </w:r>
      <w:r w:rsidR="00411991" w:rsidRPr="009B7FE7">
        <w:rPr>
          <w:sz w:val="24"/>
          <w:szCs w:val="24"/>
        </w:rPr>
        <w:t>, and -</w:t>
      </w:r>
      <w:r w:rsidR="00192447">
        <w:rPr>
          <w:sz w:val="24"/>
          <w:szCs w:val="24"/>
        </w:rPr>
        <w:t>0</w:t>
      </w:r>
      <w:r w:rsidR="00411991" w:rsidRPr="009B7FE7">
        <w:rPr>
          <w:sz w:val="24"/>
          <w:szCs w:val="24"/>
        </w:rPr>
        <w:t>.1</w:t>
      </w:r>
      <w:r w:rsidR="00DF221E">
        <w:rPr>
          <w:sz w:val="24"/>
          <w:szCs w:val="24"/>
        </w:rPr>
        <w:t>3</w:t>
      </w:r>
      <w:r w:rsidR="00411991" w:rsidRPr="009B7FE7">
        <w:rPr>
          <w:sz w:val="24"/>
          <w:szCs w:val="24"/>
        </w:rPr>
        <w:t xml:space="preserve"> for the first, second, and third</w:t>
      </w:r>
      <w:r w:rsidR="00A419EA">
        <w:rPr>
          <w:sz w:val="24"/>
          <w:szCs w:val="24"/>
        </w:rPr>
        <w:t xml:space="preserve"> stage</w:t>
      </w:r>
      <w:r w:rsidR="00411991" w:rsidRPr="009B7FE7">
        <w:rPr>
          <w:sz w:val="24"/>
          <w:szCs w:val="24"/>
        </w:rPr>
        <w:t xml:space="preserve"> maintenance fees, respectively.</w:t>
      </w:r>
      <w:r w:rsidR="00BD7CA0" w:rsidRPr="009B7FE7">
        <w:rPr>
          <w:sz w:val="24"/>
          <w:szCs w:val="24"/>
        </w:rPr>
        <w:t xml:space="preserve"> </w:t>
      </w:r>
    </w:p>
    <w:sectPr w:rsidR="00BD7CA0" w:rsidRPr="009B7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0" w:right="1300" w:bottom="940" w:left="13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50F2" w14:textId="77777777" w:rsidR="00F43E3E" w:rsidRDefault="00F43E3E">
      <w:r>
        <w:separator/>
      </w:r>
    </w:p>
  </w:endnote>
  <w:endnote w:type="continuationSeparator" w:id="0">
    <w:p w14:paraId="6F704CA3" w14:textId="77777777" w:rsidR="00F43E3E" w:rsidRDefault="00F43E3E">
      <w:r>
        <w:continuationSeparator/>
      </w:r>
    </w:p>
  </w:endnote>
  <w:endnote w:type="continuationNotice" w:id="1">
    <w:p w14:paraId="21FFD60D" w14:textId="77777777" w:rsidR="00F43E3E" w:rsidRDefault="00F43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6F6B" w14:textId="77777777" w:rsidR="00F43E3E" w:rsidRDefault="00F43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29ED" w14:textId="77777777" w:rsidR="00F43E3E" w:rsidRDefault="00F43E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808" behindDoc="1" locked="0" layoutInCell="1" allowOverlap="1" wp14:anchorId="35D85137" wp14:editId="7497495F">
              <wp:simplePos x="0" y="0"/>
              <wp:positionH relativeFrom="page">
                <wp:posOffset>895350</wp:posOffset>
              </wp:positionH>
              <wp:positionV relativeFrom="page">
                <wp:posOffset>9424670</wp:posOffset>
              </wp:positionV>
              <wp:extent cx="5981700" cy="0"/>
              <wp:effectExtent l="9525" t="13970" r="9525" b="5080"/>
              <wp:wrapNone/>
              <wp:docPr id="2" name="Line 2" title="Decorative figur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E05F7" id="Line 2" o:spid="_x0000_s1026" alt="Title: Decorative figure" style="position:absolute;z-index:-4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42.1pt" to="541.5pt,7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" strokecolor="#d9d9d9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6832" behindDoc="1" locked="0" layoutInCell="1" allowOverlap="1" wp14:anchorId="78ED8B9C" wp14:editId="4C11DC5A">
              <wp:simplePos x="0" y="0"/>
              <wp:positionH relativeFrom="page">
                <wp:posOffset>6170930</wp:posOffset>
              </wp:positionH>
              <wp:positionV relativeFrom="page">
                <wp:posOffset>9432290</wp:posOffset>
              </wp:positionV>
              <wp:extent cx="700405" cy="18034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BF1B5" w14:textId="3F104115" w:rsidR="00F43E3E" w:rsidRDefault="00F43E3E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6F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7F7F7F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D8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9pt;margin-top:742.7pt;width:55.15pt;height:14.2pt;z-index:-4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" filled="f" stroked="f">
              <v:textbox inset="0,0,0,0">
                <w:txbxContent>
                  <w:p w14:paraId="16BBF1B5" w14:textId="3F104115" w:rsidR="00F43E3E" w:rsidRDefault="00F43E3E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16F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7F7F7F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B34E" w14:textId="77777777" w:rsidR="00F43E3E" w:rsidRDefault="00F4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D3F4" w14:textId="77777777" w:rsidR="00F43E3E" w:rsidRDefault="00F43E3E">
      <w:r>
        <w:separator/>
      </w:r>
    </w:p>
  </w:footnote>
  <w:footnote w:type="continuationSeparator" w:id="0">
    <w:p w14:paraId="7FD944E4" w14:textId="77777777" w:rsidR="00F43E3E" w:rsidRDefault="00F43E3E">
      <w:r>
        <w:continuationSeparator/>
      </w:r>
    </w:p>
  </w:footnote>
  <w:footnote w:type="continuationNotice" w:id="1">
    <w:p w14:paraId="7DB6A62C" w14:textId="77777777" w:rsidR="00F43E3E" w:rsidRDefault="00F43E3E"/>
  </w:footnote>
  <w:footnote w:id="2">
    <w:p w14:paraId="23F2DFD3" w14:textId="6AF7992B" w:rsidR="00F43E3E" w:rsidRDefault="00F43E3E">
      <w:pPr>
        <w:pStyle w:val="FootnoteText"/>
      </w:pPr>
      <w:r>
        <w:rPr>
          <w:rStyle w:val="FootnoteReference"/>
        </w:rPr>
        <w:footnoteRef/>
      </w:r>
      <w:r>
        <w:t xml:space="preserve"> The fee change for large entities for the elasticity estimate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FEA2" w14:textId="77777777" w:rsidR="00F43E3E" w:rsidRDefault="00F43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9DE7" w14:textId="77777777" w:rsidR="00F43E3E" w:rsidRDefault="00F43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71AD" w14:textId="77777777" w:rsidR="00F43E3E" w:rsidRDefault="00F43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112"/>
    <w:multiLevelType w:val="hybridMultilevel"/>
    <w:tmpl w:val="C37CE802"/>
    <w:lvl w:ilvl="0" w:tplc="CDCEDC86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C277F17"/>
    <w:multiLevelType w:val="hybridMultilevel"/>
    <w:tmpl w:val="B244623C"/>
    <w:lvl w:ilvl="0" w:tplc="28606FD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F6C7AA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85E5044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264645A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188BEA8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D3CCE84A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1A679B8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8C8094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5D527A9E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 w15:restartNumberingAfterBreak="0">
    <w:nsid w:val="418671AE"/>
    <w:multiLevelType w:val="hybridMultilevel"/>
    <w:tmpl w:val="E3D02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2BC8"/>
    <w:multiLevelType w:val="hybridMultilevel"/>
    <w:tmpl w:val="AF9EE908"/>
    <w:lvl w:ilvl="0" w:tplc="C3AAFC9C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 w15:restartNumberingAfterBreak="0">
    <w:nsid w:val="7DC83685"/>
    <w:multiLevelType w:val="hybridMultilevel"/>
    <w:tmpl w:val="AADC248E"/>
    <w:lvl w:ilvl="0" w:tplc="B79C4E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C669F6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6F47CB2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5B74CADC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17684402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7E8AEC84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3D4CE48E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A6908704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3D428E02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3"/>
    <w:rsid w:val="00002E03"/>
    <w:rsid w:val="000231B0"/>
    <w:rsid w:val="0004579D"/>
    <w:rsid w:val="000461DE"/>
    <w:rsid w:val="00055041"/>
    <w:rsid w:val="00056818"/>
    <w:rsid w:val="00061E12"/>
    <w:rsid w:val="00063D54"/>
    <w:rsid w:val="0007090A"/>
    <w:rsid w:val="00076476"/>
    <w:rsid w:val="000875C1"/>
    <w:rsid w:val="0009509F"/>
    <w:rsid w:val="0009544C"/>
    <w:rsid w:val="000955A6"/>
    <w:rsid w:val="000A2DE0"/>
    <w:rsid w:val="000A56FC"/>
    <w:rsid w:val="000B0D48"/>
    <w:rsid w:val="000B5925"/>
    <w:rsid w:val="000B6F0B"/>
    <w:rsid w:val="000B6F81"/>
    <w:rsid w:val="000C1E1F"/>
    <w:rsid w:val="000C6F93"/>
    <w:rsid w:val="000C7F74"/>
    <w:rsid w:val="000D34A2"/>
    <w:rsid w:val="000E3976"/>
    <w:rsid w:val="00127556"/>
    <w:rsid w:val="001533DC"/>
    <w:rsid w:val="001562AE"/>
    <w:rsid w:val="00161724"/>
    <w:rsid w:val="00175E6A"/>
    <w:rsid w:val="00177849"/>
    <w:rsid w:val="00192447"/>
    <w:rsid w:val="001B1B4B"/>
    <w:rsid w:val="001B6F33"/>
    <w:rsid w:val="001B7807"/>
    <w:rsid w:val="001C095F"/>
    <w:rsid w:val="001C303F"/>
    <w:rsid w:val="001F2555"/>
    <w:rsid w:val="00211518"/>
    <w:rsid w:val="00213443"/>
    <w:rsid w:val="00262FA3"/>
    <w:rsid w:val="00263F8C"/>
    <w:rsid w:val="0028304D"/>
    <w:rsid w:val="00284469"/>
    <w:rsid w:val="00295DDB"/>
    <w:rsid w:val="002A2D14"/>
    <w:rsid w:val="002A5A5C"/>
    <w:rsid w:val="002C3112"/>
    <w:rsid w:val="002D586C"/>
    <w:rsid w:val="002E13C6"/>
    <w:rsid w:val="00311130"/>
    <w:rsid w:val="003125CD"/>
    <w:rsid w:val="00317CE3"/>
    <w:rsid w:val="003253EC"/>
    <w:rsid w:val="003256D3"/>
    <w:rsid w:val="00346F0A"/>
    <w:rsid w:val="00356C2E"/>
    <w:rsid w:val="003748B9"/>
    <w:rsid w:val="00392DC0"/>
    <w:rsid w:val="003A16E3"/>
    <w:rsid w:val="003A43B9"/>
    <w:rsid w:val="003B02E6"/>
    <w:rsid w:val="003B3B29"/>
    <w:rsid w:val="003C26D5"/>
    <w:rsid w:val="003D31A0"/>
    <w:rsid w:val="003D5C28"/>
    <w:rsid w:val="003E5560"/>
    <w:rsid w:val="003E5CC5"/>
    <w:rsid w:val="003F2B26"/>
    <w:rsid w:val="003F3ADB"/>
    <w:rsid w:val="003F6C4A"/>
    <w:rsid w:val="00401BB7"/>
    <w:rsid w:val="00411991"/>
    <w:rsid w:val="00442B2D"/>
    <w:rsid w:val="00480DA6"/>
    <w:rsid w:val="004851FA"/>
    <w:rsid w:val="00494CAE"/>
    <w:rsid w:val="004A6907"/>
    <w:rsid w:val="004B188E"/>
    <w:rsid w:val="004B49FC"/>
    <w:rsid w:val="004B7CE9"/>
    <w:rsid w:val="004C57EE"/>
    <w:rsid w:val="004D386D"/>
    <w:rsid w:val="0050757A"/>
    <w:rsid w:val="00516035"/>
    <w:rsid w:val="00522595"/>
    <w:rsid w:val="00531CFD"/>
    <w:rsid w:val="005371A2"/>
    <w:rsid w:val="00537514"/>
    <w:rsid w:val="00544945"/>
    <w:rsid w:val="005458C5"/>
    <w:rsid w:val="00546EA9"/>
    <w:rsid w:val="00550FFE"/>
    <w:rsid w:val="0055637A"/>
    <w:rsid w:val="0056719B"/>
    <w:rsid w:val="00567952"/>
    <w:rsid w:val="00571C53"/>
    <w:rsid w:val="005A4FF9"/>
    <w:rsid w:val="005B4AB0"/>
    <w:rsid w:val="005B5607"/>
    <w:rsid w:val="005C29C1"/>
    <w:rsid w:val="005C7377"/>
    <w:rsid w:val="005F10D0"/>
    <w:rsid w:val="006175AF"/>
    <w:rsid w:val="00624C38"/>
    <w:rsid w:val="00632AB6"/>
    <w:rsid w:val="00635E23"/>
    <w:rsid w:val="006615B3"/>
    <w:rsid w:val="00663E42"/>
    <w:rsid w:val="006722A1"/>
    <w:rsid w:val="00675FF1"/>
    <w:rsid w:val="006D4322"/>
    <w:rsid w:val="006E422C"/>
    <w:rsid w:val="00703203"/>
    <w:rsid w:val="007166ED"/>
    <w:rsid w:val="0072240E"/>
    <w:rsid w:val="00723A58"/>
    <w:rsid w:val="0073251F"/>
    <w:rsid w:val="00735363"/>
    <w:rsid w:val="0073727D"/>
    <w:rsid w:val="00796FE3"/>
    <w:rsid w:val="007D73A6"/>
    <w:rsid w:val="007E4BF9"/>
    <w:rsid w:val="007E6DF5"/>
    <w:rsid w:val="007E7DCD"/>
    <w:rsid w:val="007F0690"/>
    <w:rsid w:val="007F6C65"/>
    <w:rsid w:val="008014A1"/>
    <w:rsid w:val="008125ED"/>
    <w:rsid w:val="00850325"/>
    <w:rsid w:val="00853805"/>
    <w:rsid w:val="0087053C"/>
    <w:rsid w:val="00873495"/>
    <w:rsid w:val="00883FC9"/>
    <w:rsid w:val="008867CC"/>
    <w:rsid w:val="008912FF"/>
    <w:rsid w:val="008935F1"/>
    <w:rsid w:val="008970D8"/>
    <w:rsid w:val="008A0D7C"/>
    <w:rsid w:val="008A7E4D"/>
    <w:rsid w:val="008B243C"/>
    <w:rsid w:val="008B62FD"/>
    <w:rsid w:val="008C33FF"/>
    <w:rsid w:val="008F6ECC"/>
    <w:rsid w:val="00900BAD"/>
    <w:rsid w:val="00901EDD"/>
    <w:rsid w:val="009078DD"/>
    <w:rsid w:val="009100A6"/>
    <w:rsid w:val="009104DB"/>
    <w:rsid w:val="00913668"/>
    <w:rsid w:val="00924FD3"/>
    <w:rsid w:val="009374D3"/>
    <w:rsid w:val="00941C90"/>
    <w:rsid w:val="00964153"/>
    <w:rsid w:val="00967224"/>
    <w:rsid w:val="0097120B"/>
    <w:rsid w:val="00971438"/>
    <w:rsid w:val="00981299"/>
    <w:rsid w:val="00985D42"/>
    <w:rsid w:val="0099688E"/>
    <w:rsid w:val="009A4186"/>
    <w:rsid w:val="009A4D4D"/>
    <w:rsid w:val="009B4652"/>
    <w:rsid w:val="009B7FE7"/>
    <w:rsid w:val="009C72E7"/>
    <w:rsid w:val="009C7410"/>
    <w:rsid w:val="009D0EF9"/>
    <w:rsid w:val="009D7574"/>
    <w:rsid w:val="009F6998"/>
    <w:rsid w:val="00A0122C"/>
    <w:rsid w:val="00A20C34"/>
    <w:rsid w:val="00A21752"/>
    <w:rsid w:val="00A35033"/>
    <w:rsid w:val="00A37AFB"/>
    <w:rsid w:val="00A401F3"/>
    <w:rsid w:val="00A419EA"/>
    <w:rsid w:val="00A6714A"/>
    <w:rsid w:val="00A87A6D"/>
    <w:rsid w:val="00A96835"/>
    <w:rsid w:val="00AB1184"/>
    <w:rsid w:val="00AB5686"/>
    <w:rsid w:val="00AD465F"/>
    <w:rsid w:val="00AF527A"/>
    <w:rsid w:val="00B15CA8"/>
    <w:rsid w:val="00B3340D"/>
    <w:rsid w:val="00B42AA2"/>
    <w:rsid w:val="00B443CE"/>
    <w:rsid w:val="00B56940"/>
    <w:rsid w:val="00B76D6E"/>
    <w:rsid w:val="00B812F1"/>
    <w:rsid w:val="00B81C75"/>
    <w:rsid w:val="00B9684C"/>
    <w:rsid w:val="00BA5822"/>
    <w:rsid w:val="00BB27F4"/>
    <w:rsid w:val="00BB2FF8"/>
    <w:rsid w:val="00BB4CC4"/>
    <w:rsid w:val="00BB74AF"/>
    <w:rsid w:val="00BC7747"/>
    <w:rsid w:val="00BD443D"/>
    <w:rsid w:val="00BD591E"/>
    <w:rsid w:val="00BD7CA0"/>
    <w:rsid w:val="00BE0AC5"/>
    <w:rsid w:val="00BF26A7"/>
    <w:rsid w:val="00C0548A"/>
    <w:rsid w:val="00C060DF"/>
    <w:rsid w:val="00C117A1"/>
    <w:rsid w:val="00C135C4"/>
    <w:rsid w:val="00C355DA"/>
    <w:rsid w:val="00C3671D"/>
    <w:rsid w:val="00C37B07"/>
    <w:rsid w:val="00C45242"/>
    <w:rsid w:val="00C47188"/>
    <w:rsid w:val="00C4757E"/>
    <w:rsid w:val="00C50743"/>
    <w:rsid w:val="00C54249"/>
    <w:rsid w:val="00C637BA"/>
    <w:rsid w:val="00C674C4"/>
    <w:rsid w:val="00C84BD2"/>
    <w:rsid w:val="00C978EC"/>
    <w:rsid w:val="00CB22D5"/>
    <w:rsid w:val="00CC0AEB"/>
    <w:rsid w:val="00CD7A6C"/>
    <w:rsid w:val="00CE4293"/>
    <w:rsid w:val="00CF0A2D"/>
    <w:rsid w:val="00CF283B"/>
    <w:rsid w:val="00CF6172"/>
    <w:rsid w:val="00D0572E"/>
    <w:rsid w:val="00D16D8A"/>
    <w:rsid w:val="00D32493"/>
    <w:rsid w:val="00D5004D"/>
    <w:rsid w:val="00D63785"/>
    <w:rsid w:val="00DA1497"/>
    <w:rsid w:val="00DA60D5"/>
    <w:rsid w:val="00DA6AD0"/>
    <w:rsid w:val="00DB4136"/>
    <w:rsid w:val="00DE472B"/>
    <w:rsid w:val="00DE4F96"/>
    <w:rsid w:val="00DF221E"/>
    <w:rsid w:val="00E01E2A"/>
    <w:rsid w:val="00E07585"/>
    <w:rsid w:val="00E13AC6"/>
    <w:rsid w:val="00E16923"/>
    <w:rsid w:val="00E32B74"/>
    <w:rsid w:val="00E517D3"/>
    <w:rsid w:val="00E52C61"/>
    <w:rsid w:val="00E64092"/>
    <w:rsid w:val="00E81698"/>
    <w:rsid w:val="00E85CE9"/>
    <w:rsid w:val="00E8607B"/>
    <w:rsid w:val="00E87124"/>
    <w:rsid w:val="00E9507D"/>
    <w:rsid w:val="00EA4283"/>
    <w:rsid w:val="00EB6977"/>
    <w:rsid w:val="00EC2F50"/>
    <w:rsid w:val="00ED10D8"/>
    <w:rsid w:val="00EE2536"/>
    <w:rsid w:val="00EF2D27"/>
    <w:rsid w:val="00EF6E75"/>
    <w:rsid w:val="00F0720E"/>
    <w:rsid w:val="00F1015E"/>
    <w:rsid w:val="00F14BAB"/>
    <w:rsid w:val="00F16569"/>
    <w:rsid w:val="00F20BE9"/>
    <w:rsid w:val="00F27F77"/>
    <w:rsid w:val="00F31E7E"/>
    <w:rsid w:val="00F34108"/>
    <w:rsid w:val="00F43E3E"/>
    <w:rsid w:val="00F60A76"/>
    <w:rsid w:val="00F634A8"/>
    <w:rsid w:val="00F6636C"/>
    <w:rsid w:val="00F7162B"/>
    <w:rsid w:val="00F86B69"/>
    <w:rsid w:val="00FB0B6A"/>
    <w:rsid w:val="00FB2349"/>
    <w:rsid w:val="00FB4A12"/>
    <w:rsid w:val="00FC0E28"/>
    <w:rsid w:val="00FC16F5"/>
    <w:rsid w:val="00FE13A6"/>
    <w:rsid w:val="00FE4109"/>
    <w:rsid w:val="00FE432E"/>
    <w:rsid w:val="00FF32BA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448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F0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Hyperlink">
    <w:name w:val="Hyperlink"/>
    <w:rsid w:val="004A6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6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68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7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1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10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1E1F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560"/>
    <w:rPr>
      <w:color w:val="808080"/>
    </w:rPr>
  </w:style>
  <w:style w:type="paragraph" w:styleId="NoSpacing">
    <w:name w:val="No Spacing"/>
    <w:uiPriority w:val="1"/>
    <w:qFormat/>
    <w:rsid w:val="00CF617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87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4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4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43C"/>
    <w:rPr>
      <w:vertAlign w:val="superscript"/>
    </w:rPr>
  </w:style>
  <w:style w:type="paragraph" w:styleId="Revision">
    <w:name w:val="Revision"/>
    <w:hidden/>
    <w:uiPriority w:val="99"/>
    <w:semiHidden/>
    <w:rsid w:val="003253E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E7AE8746BF34D95974859DFD97FD3" ma:contentTypeVersion="13" ma:contentTypeDescription="Create a new document." ma:contentTypeScope="" ma:versionID="a942772f70efacf34d0082af35da1300">
  <xsd:schema xmlns:xsd="http://www.w3.org/2001/XMLSchema" xmlns:xs="http://www.w3.org/2001/XMLSchema" xmlns:p="http://schemas.microsoft.com/office/2006/metadata/properties" xmlns:ns2="389d3fd6-467d-4ff9-a3a7-974ffc29e0b3" xmlns:ns3="338168c6-3a3e-4a06-905e-8185aa796050" targetNamespace="http://schemas.microsoft.com/office/2006/metadata/properties" ma:root="true" ma:fieldsID="737cc2c99afd7104e4594642bd84578e" ns2:_="" ns3:_="">
    <xsd:import namespace="389d3fd6-467d-4ff9-a3a7-974ffc29e0b3"/>
    <xsd:import namespace="338168c6-3a3e-4a06-905e-8185aa796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3fd6-467d-4ff9-a3a7-974ffc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8c6-3a3e-4a06-905e-8185aa796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5768-C96C-438F-A1A8-6422936D2E8A}">
  <ds:schemaRefs>
    <ds:schemaRef ds:uri="http://purl.org/dc/elements/1.1/"/>
    <ds:schemaRef ds:uri="http://schemas.microsoft.com/office/2006/metadata/properties"/>
    <ds:schemaRef ds:uri="338168c6-3a3e-4a06-905e-8185aa796050"/>
    <ds:schemaRef ds:uri="http://purl.org/dc/terms/"/>
    <ds:schemaRef ds:uri="389d3fd6-467d-4ff9-a3a7-974ffc29e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5E269F-7FB9-4761-B36C-1E0254A0D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1140B-D39C-41F1-9AB6-0C8AC8D4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d3fd6-467d-4ff9-a3a7-974ffc29e0b3"/>
    <ds:schemaRef ds:uri="338168c6-3a3e-4a06-905e-8185aa796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91531-C991-4AF1-9788-E4346C0A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2020-07-07T22:06:00Z</dcterms:created>
  <dcterms:modified xsi:type="dcterms:W3CDTF">2020-07-07T22:06:00Z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0x010100790E7AE8746BF34D95974859DFD97FD3</vt:lpwstr>
  </property>
</Properties>
</file>