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999A" w14:textId="36079511" w:rsidR="002055D6" w:rsidRDefault="00CA7273">
      <w:pPr>
        <w:rPr>
          <w:rFonts w:ascii="Segoe UI Light" w:hAnsi="Segoe UI Light" w:cs="Segoe UI Light"/>
          <w:b/>
          <w:bCs/>
          <w:sz w:val="28"/>
          <w:szCs w:val="28"/>
        </w:rPr>
      </w:pPr>
      <w:r w:rsidRPr="00CA7273">
        <w:rPr>
          <w:rFonts w:ascii="Segoe UI Light" w:hAnsi="Segoe UI Light" w:cs="Segoe UI Light"/>
          <w:b/>
          <w:bCs/>
          <w:sz w:val="28"/>
          <w:szCs w:val="28"/>
        </w:rPr>
        <w:t>PPH Adjusted Docketing FAQs</w:t>
      </w:r>
    </w:p>
    <w:p w14:paraId="1B9F0B14" w14:textId="77777777" w:rsidR="00A25E66" w:rsidRPr="00CA7273" w:rsidRDefault="00A25E66">
      <w:pPr>
        <w:rPr>
          <w:rFonts w:ascii="Segoe UI Light" w:hAnsi="Segoe UI Light" w:cs="Segoe UI Light"/>
          <w:b/>
          <w:bCs/>
          <w:sz w:val="28"/>
          <w:szCs w:val="28"/>
        </w:rPr>
      </w:pPr>
    </w:p>
    <w:p w14:paraId="677C849B" w14:textId="1C9C3757" w:rsidR="00CA7273" w:rsidRPr="00430758" w:rsidRDefault="00CA7273">
      <w:pPr>
        <w:rPr>
          <w:rFonts w:ascii="Segoe UI Light" w:hAnsi="Segoe UI Light" w:cs="Segoe UI Light"/>
          <w:b/>
          <w:bCs/>
          <w:sz w:val="24"/>
          <w:szCs w:val="24"/>
        </w:rPr>
      </w:pPr>
      <w:r w:rsidRPr="00430758">
        <w:rPr>
          <w:rFonts w:ascii="Segoe UI Light" w:hAnsi="Segoe UI Light" w:cs="Segoe UI Light"/>
          <w:b/>
          <w:bCs/>
          <w:sz w:val="24"/>
          <w:szCs w:val="24"/>
        </w:rPr>
        <w:t>Q. Will there be any changes to how I participate in the PPH program at the USPTO?</w:t>
      </w:r>
    </w:p>
    <w:p w14:paraId="48BAB73C" w14:textId="26EDE189" w:rsidR="00430758" w:rsidRDefault="00430758">
      <w:p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>A. No, there are no changes to how you currently participate in the PPH program.</w:t>
      </w:r>
    </w:p>
    <w:p w14:paraId="31FDE800" w14:textId="77777777" w:rsidR="00A25E66" w:rsidRDefault="00A25E66">
      <w:pPr>
        <w:rPr>
          <w:rFonts w:ascii="Segoe UI Light" w:hAnsi="Segoe UI Light" w:cs="Segoe UI Light"/>
          <w:sz w:val="24"/>
          <w:szCs w:val="24"/>
        </w:rPr>
      </w:pPr>
    </w:p>
    <w:p w14:paraId="211344EA" w14:textId="0E4DBA8D" w:rsidR="00A25E66" w:rsidRPr="00430758" w:rsidRDefault="00A25E66">
      <w:pPr>
        <w:rPr>
          <w:rFonts w:ascii="Segoe UI Light" w:hAnsi="Segoe UI Light" w:cs="Segoe UI Light"/>
          <w:b/>
          <w:bCs/>
          <w:sz w:val="24"/>
          <w:szCs w:val="24"/>
        </w:rPr>
      </w:pPr>
      <w:r w:rsidRPr="00430758">
        <w:rPr>
          <w:rFonts w:ascii="Segoe UI Light" w:hAnsi="Segoe UI Light" w:cs="Segoe UI Light"/>
          <w:b/>
          <w:bCs/>
          <w:sz w:val="24"/>
          <w:szCs w:val="24"/>
        </w:rPr>
        <w:t>Q. Will there be any changes to the typical processing time for a PPH request?</w:t>
      </w:r>
    </w:p>
    <w:p w14:paraId="7476F2ED" w14:textId="2F9B7DDF" w:rsidR="00430758" w:rsidRDefault="00430758">
      <w:p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A. There will be no changes in the processing time of the PPH petition. Information on processing time can be found on the </w:t>
      </w:r>
      <w:hyperlink r:id="rId4" w:anchor="PTE" w:history="1">
        <w:r w:rsidRPr="00430758">
          <w:rPr>
            <w:rStyle w:val="Hyperlink"/>
            <w:rFonts w:ascii="Segoe UI Light" w:hAnsi="Segoe UI Light" w:cs="Segoe UI Light"/>
            <w:sz w:val="24"/>
            <w:szCs w:val="24"/>
          </w:rPr>
          <w:t>Petitions Timeline</w:t>
        </w:r>
      </w:hyperlink>
      <w:r>
        <w:rPr>
          <w:rFonts w:ascii="Segoe UI Light" w:hAnsi="Segoe UI Light" w:cs="Segoe UI Light"/>
          <w:sz w:val="24"/>
          <w:szCs w:val="24"/>
        </w:rPr>
        <w:t xml:space="preserve">. </w:t>
      </w:r>
    </w:p>
    <w:p w14:paraId="02305075" w14:textId="77777777" w:rsidR="00430758" w:rsidRDefault="00430758">
      <w:pPr>
        <w:rPr>
          <w:rFonts w:ascii="Segoe UI Light" w:hAnsi="Segoe UI Light" w:cs="Segoe UI Light"/>
          <w:sz w:val="24"/>
          <w:szCs w:val="24"/>
        </w:rPr>
      </w:pPr>
    </w:p>
    <w:p w14:paraId="03E07A05" w14:textId="2F23FF3D" w:rsidR="00430758" w:rsidRDefault="00430758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Q. How does the adjusted docketing impact the special status of PPH applications?</w:t>
      </w:r>
    </w:p>
    <w:p w14:paraId="0D66CD20" w14:textId="31C5A24A" w:rsidR="00430758" w:rsidRPr="00662921" w:rsidRDefault="00430758">
      <w:pPr>
        <w:rPr>
          <w:rFonts w:ascii="Segoe UI Light" w:hAnsi="Segoe UI Light" w:cs="Segoe UI Light"/>
          <w:sz w:val="24"/>
          <w:szCs w:val="24"/>
        </w:rPr>
      </w:pPr>
      <w:r w:rsidRPr="00662921">
        <w:rPr>
          <w:rFonts w:ascii="Segoe UI Light" w:hAnsi="Segoe UI Light" w:cs="Segoe UI Light"/>
          <w:sz w:val="24"/>
          <w:szCs w:val="24"/>
        </w:rPr>
        <w:t>A. PPH applications will be docketed to the examiner as Special once it reache</w:t>
      </w:r>
      <w:r w:rsidR="00662921" w:rsidRPr="00662921">
        <w:rPr>
          <w:rFonts w:ascii="Segoe UI Light" w:hAnsi="Segoe UI Light" w:cs="Segoe UI Light"/>
          <w:sz w:val="24"/>
          <w:szCs w:val="24"/>
        </w:rPr>
        <w:t>s</w:t>
      </w:r>
      <w:r w:rsidRPr="00662921">
        <w:rPr>
          <w:rFonts w:ascii="Segoe UI Light" w:hAnsi="Segoe UI Light" w:cs="Segoe UI Light"/>
          <w:sz w:val="24"/>
          <w:szCs w:val="24"/>
        </w:rPr>
        <w:t xml:space="preserve"> </w:t>
      </w:r>
      <w:r w:rsidR="00F85295">
        <w:rPr>
          <w:rFonts w:ascii="Segoe UI Light" w:hAnsi="Segoe UI Light" w:cs="Segoe UI Light"/>
          <w:sz w:val="24"/>
          <w:szCs w:val="24"/>
        </w:rPr>
        <w:t xml:space="preserve">approximately </w:t>
      </w:r>
      <w:r w:rsidRPr="00662921">
        <w:rPr>
          <w:rFonts w:ascii="Segoe UI Light" w:hAnsi="Segoe UI Light" w:cs="Segoe UI Light"/>
          <w:sz w:val="24"/>
          <w:szCs w:val="24"/>
        </w:rPr>
        <w:t>half of the age of other recently docketed applications from the same technology</w:t>
      </w:r>
      <w:r w:rsidR="00662921" w:rsidRPr="00662921">
        <w:rPr>
          <w:rFonts w:ascii="Segoe UI Light" w:hAnsi="Segoe UI Light" w:cs="Segoe UI Light"/>
          <w:sz w:val="24"/>
          <w:szCs w:val="24"/>
        </w:rPr>
        <w:t>.</w:t>
      </w:r>
    </w:p>
    <w:p w14:paraId="3A29C4EC" w14:textId="77777777" w:rsidR="00430758" w:rsidRDefault="00430758">
      <w:pPr>
        <w:rPr>
          <w:rFonts w:ascii="Segoe UI Light" w:hAnsi="Segoe UI Light" w:cs="Segoe UI Light"/>
          <w:sz w:val="24"/>
          <w:szCs w:val="24"/>
        </w:rPr>
      </w:pPr>
    </w:p>
    <w:p w14:paraId="5F726208" w14:textId="4A541E18" w:rsidR="00430758" w:rsidRDefault="00430758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 xml:space="preserve">Q. Why is USPTO implementing delayed docketing for PPH applications? </w:t>
      </w:r>
    </w:p>
    <w:p w14:paraId="3BD139BF" w14:textId="2D3E56FE" w:rsidR="00430758" w:rsidRPr="00430758" w:rsidRDefault="00430758">
      <w:p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A. The first action pendency for PPH applications is currently disproportionate to that of non-PPH applications. By adjusting the docketing of PPH applications, we are </w:t>
      </w:r>
      <w:r w:rsidR="00F85295">
        <w:rPr>
          <w:rFonts w:ascii="Segoe UI Light" w:hAnsi="Segoe UI Light" w:cs="Segoe UI Light"/>
          <w:sz w:val="24"/>
          <w:szCs w:val="24"/>
        </w:rPr>
        <w:t xml:space="preserve">providing greater fairness </w:t>
      </w:r>
      <w:r>
        <w:rPr>
          <w:rFonts w:ascii="Segoe UI Light" w:hAnsi="Segoe UI Light" w:cs="Segoe UI Light"/>
          <w:sz w:val="24"/>
          <w:szCs w:val="24"/>
        </w:rPr>
        <w:t xml:space="preserve">for applications </w:t>
      </w:r>
      <w:r w:rsidR="00F85295">
        <w:rPr>
          <w:rFonts w:ascii="Segoe UI Light" w:hAnsi="Segoe UI Light" w:cs="Segoe UI Light"/>
          <w:sz w:val="24"/>
          <w:szCs w:val="24"/>
        </w:rPr>
        <w:t xml:space="preserve">already pending </w:t>
      </w:r>
      <w:r>
        <w:rPr>
          <w:rFonts w:ascii="Segoe UI Light" w:hAnsi="Segoe UI Light" w:cs="Segoe UI Light"/>
          <w:sz w:val="24"/>
          <w:szCs w:val="24"/>
        </w:rPr>
        <w:t>at the USPTO, while</w:t>
      </w:r>
      <w:r w:rsidR="00F85295">
        <w:rPr>
          <w:rFonts w:ascii="Segoe UI Light" w:hAnsi="Segoe UI Light" w:cs="Segoe UI Light"/>
          <w:sz w:val="24"/>
          <w:szCs w:val="24"/>
        </w:rPr>
        <w:t xml:space="preserve"> still </w:t>
      </w:r>
      <w:r>
        <w:rPr>
          <w:rFonts w:ascii="Segoe UI Light" w:hAnsi="Segoe UI Light" w:cs="Segoe UI Light"/>
          <w:sz w:val="24"/>
          <w:szCs w:val="24"/>
        </w:rPr>
        <w:t xml:space="preserve">allowing stakeholders to continue to take advantage of PPH’s expedited examination. </w:t>
      </w:r>
    </w:p>
    <w:p w14:paraId="600EC984" w14:textId="77777777" w:rsidR="00A25E66" w:rsidRDefault="00A25E66">
      <w:pPr>
        <w:rPr>
          <w:rFonts w:ascii="Segoe UI Light" w:hAnsi="Segoe UI Light" w:cs="Segoe UI Light"/>
          <w:sz w:val="24"/>
          <w:szCs w:val="24"/>
        </w:rPr>
      </w:pPr>
    </w:p>
    <w:p w14:paraId="2C95785B" w14:textId="1364CAF6" w:rsidR="00662921" w:rsidRDefault="00662921">
      <w:pPr>
        <w:rPr>
          <w:rFonts w:ascii="Segoe UI Light" w:hAnsi="Segoe UI Light" w:cs="Segoe UI Light"/>
          <w:b/>
          <w:bCs/>
          <w:sz w:val="24"/>
          <w:szCs w:val="24"/>
        </w:rPr>
      </w:pPr>
      <w:r>
        <w:rPr>
          <w:rFonts w:ascii="Segoe UI Light" w:hAnsi="Segoe UI Light" w:cs="Segoe UI Light"/>
          <w:b/>
          <w:bCs/>
          <w:sz w:val="24"/>
          <w:szCs w:val="24"/>
        </w:rPr>
        <w:t>Q. What is the first action pendency for PPH applications compared to non-PPH applications?</w:t>
      </w:r>
    </w:p>
    <w:p w14:paraId="3D3B43FC" w14:textId="6483BEDF" w:rsidR="00662921" w:rsidRDefault="00662921">
      <w:pPr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sz w:val="24"/>
          <w:szCs w:val="24"/>
        </w:rPr>
        <w:t xml:space="preserve">A. As of August 31, 2025, the average PPH first action pendency was </w:t>
      </w:r>
      <w:r w:rsidR="00F85295">
        <w:rPr>
          <w:rFonts w:ascii="Segoe UI Light" w:hAnsi="Segoe UI Light" w:cs="Segoe UI Light"/>
          <w:sz w:val="24"/>
          <w:szCs w:val="24"/>
        </w:rPr>
        <w:t xml:space="preserve">approximately </w:t>
      </w:r>
      <w:r>
        <w:rPr>
          <w:rFonts w:ascii="Segoe UI Light" w:hAnsi="Segoe UI Light" w:cs="Segoe UI Light"/>
          <w:sz w:val="24"/>
          <w:szCs w:val="24"/>
        </w:rPr>
        <w:t xml:space="preserve">7 months, compared to 23 months for </w:t>
      </w:r>
      <w:r w:rsidR="00F85295">
        <w:rPr>
          <w:rFonts w:ascii="Segoe UI Light" w:hAnsi="Segoe UI Light" w:cs="Segoe UI Light"/>
          <w:sz w:val="24"/>
          <w:szCs w:val="24"/>
        </w:rPr>
        <w:t>regular</w:t>
      </w:r>
      <w:r>
        <w:rPr>
          <w:rFonts w:ascii="Segoe UI Light" w:hAnsi="Segoe UI Light" w:cs="Segoe UI Light"/>
          <w:sz w:val="24"/>
          <w:szCs w:val="24"/>
        </w:rPr>
        <w:t>, non-PPH applications.</w:t>
      </w:r>
    </w:p>
    <w:p w14:paraId="38A09577" w14:textId="77777777" w:rsidR="00662921" w:rsidRDefault="00662921">
      <w:pPr>
        <w:rPr>
          <w:rFonts w:ascii="Segoe UI Light" w:hAnsi="Segoe UI Light" w:cs="Segoe UI Light"/>
          <w:sz w:val="24"/>
          <w:szCs w:val="24"/>
        </w:rPr>
      </w:pPr>
    </w:p>
    <w:p w14:paraId="32F74C32" w14:textId="04E356A0" w:rsidR="00662921" w:rsidRDefault="00662921">
      <w:pPr>
        <w:rPr>
          <w:rFonts w:ascii="Segoe UI Light" w:hAnsi="Segoe UI Light" w:cs="Segoe UI Light"/>
          <w:b/>
          <w:bCs/>
          <w:sz w:val="24"/>
          <w:szCs w:val="24"/>
        </w:rPr>
      </w:pPr>
      <w:r w:rsidRPr="00662921">
        <w:rPr>
          <w:rFonts w:ascii="Segoe UI Light" w:hAnsi="Segoe UI Light" w:cs="Segoe UI Light"/>
          <w:b/>
          <w:bCs/>
          <w:sz w:val="24"/>
          <w:szCs w:val="24"/>
        </w:rPr>
        <w:t xml:space="preserve">Q. Do you provide </w:t>
      </w:r>
      <w:r>
        <w:rPr>
          <w:rFonts w:ascii="Segoe UI Light" w:hAnsi="Segoe UI Light" w:cs="Segoe UI Light"/>
          <w:b/>
          <w:bCs/>
          <w:sz w:val="24"/>
          <w:szCs w:val="24"/>
        </w:rPr>
        <w:t xml:space="preserve">first action </w:t>
      </w:r>
      <w:r w:rsidRPr="00662921">
        <w:rPr>
          <w:rFonts w:ascii="Segoe UI Light" w:hAnsi="Segoe UI Light" w:cs="Segoe UI Light"/>
          <w:b/>
          <w:bCs/>
          <w:sz w:val="24"/>
          <w:szCs w:val="24"/>
        </w:rPr>
        <w:t>pendency information by technology?</w:t>
      </w:r>
    </w:p>
    <w:p w14:paraId="0239E7F9" w14:textId="09E1AFAC" w:rsidR="00CA7273" w:rsidRDefault="00662921">
      <w:r>
        <w:rPr>
          <w:rFonts w:ascii="Segoe UI Light" w:hAnsi="Segoe UI Light" w:cs="Segoe UI Light"/>
          <w:sz w:val="24"/>
          <w:szCs w:val="24"/>
        </w:rPr>
        <w:t xml:space="preserve">A. Yes, you can find overall first action pendency on our </w:t>
      </w:r>
      <w:hyperlink r:id="rId5" w:anchor="first-office-action" w:history="1">
        <w:r w:rsidRPr="00662921">
          <w:rPr>
            <w:rStyle w:val="Hyperlink"/>
            <w:rFonts w:ascii="Segoe UI Light" w:hAnsi="Segoe UI Light" w:cs="Segoe UI Light"/>
            <w:sz w:val="24"/>
            <w:szCs w:val="24"/>
          </w:rPr>
          <w:t>dashboards</w:t>
        </w:r>
      </w:hyperlink>
      <w:r>
        <w:rPr>
          <w:rFonts w:ascii="Segoe UI Light" w:hAnsi="Segoe UI Light" w:cs="Segoe UI Light"/>
          <w:sz w:val="24"/>
          <w:szCs w:val="24"/>
        </w:rPr>
        <w:t>. At the bottom of the dashboard</w:t>
      </w:r>
      <w:r w:rsidR="00F85295">
        <w:rPr>
          <w:rFonts w:ascii="Segoe UI Light" w:hAnsi="Segoe UI Light" w:cs="Segoe UI Light"/>
          <w:sz w:val="24"/>
          <w:szCs w:val="24"/>
        </w:rPr>
        <w:t>s</w:t>
      </w:r>
      <w:r>
        <w:rPr>
          <w:rFonts w:ascii="Segoe UI Light" w:hAnsi="Segoe UI Light" w:cs="Segoe UI Light"/>
          <w:sz w:val="24"/>
          <w:szCs w:val="24"/>
        </w:rPr>
        <w:t xml:space="preserve"> page, we provide a </w:t>
      </w:r>
      <w:hyperlink r:id="rId6" w:history="1">
        <w:r w:rsidRPr="00662921">
          <w:rPr>
            <w:rStyle w:val="Hyperlink"/>
            <w:rFonts w:ascii="Segoe UI Light" w:hAnsi="Segoe UI Light" w:cs="Segoe UI Light"/>
            <w:sz w:val="24"/>
            <w:szCs w:val="24"/>
          </w:rPr>
          <w:t>link to a spreadsheet</w:t>
        </w:r>
      </w:hyperlink>
      <w:r>
        <w:rPr>
          <w:rFonts w:ascii="Segoe UI Light" w:hAnsi="Segoe UI Light" w:cs="Segoe UI Light"/>
          <w:sz w:val="24"/>
          <w:szCs w:val="24"/>
        </w:rPr>
        <w:t xml:space="preserve"> that provides additional detailed information by technology center, including first action pendency rates.  </w:t>
      </w:r>
    </w:p>
    <w:sectPr w:rsidR="00CA72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273"/>
    <w:rsid w:val="00052777"/>
    <w:rsid w:val="000A5128"/>
    <w:rsid w:val="000A67BD"/>
    <w:rsid w:val="000E0C74"/>
    <w:rsid w:val="001D1CC3"/>
    <w:rsid w:val="002055D6"/>
    <w:rsid w:val="003E52CA"/>
    <w:rsid w:val="00430758"/>
    <w:rsid w:val="00466453"/>
    <w:rsid w:val="00662921"/>
    <w:rsid w:val="00664510"/>
    <w:rsid w:val="006946E4"/>
    <w:rsid w:val="007C0061"/>
    <w:rsid w:val="00A0690A"/>
    <w:rsid w:val="00A25E66"/>
    <w:rsid w:val="00BF3854"/>
    <w:rsid w:val="00CA7273"/>
    <w:rsid w:val="00D34122"/>
    <w:rsid w:val="00F85295"/>
    <w:rsid w:val="00F9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33FE3"/>
  <w15:chartTrackingRefBased/>
  <w15:docId w15:val="{02634BBA-9D5A-4A89-926C-C5499708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7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7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07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07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29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8529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pto.gov/dashboard/data/patents/tcleveldashboard.xlsx" TargetMode="External"/><Relationship Id="rId5" Type="http://schemas.openxmlformats.org/officeDocument/2006/relationships/hyperlink" Target="https://www.uspto.gov/dashboard/patents/" TargetMode="External"/><Relationship Id="rId4" Type="http://schemas.openxmlformats.org/officeDocument/2006/relationships/hyperlink" Target="https://www.uspto.gov/patents/apply/petitions/timeline/advancement-examination-peti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Jessica</dc:creator>
  <cp:keywords/>
  <dc:description/>
  <cp:lastModifiedBy>Mike</cp:lastModifiedBy>
  <cp:revision>2</cp:revision>
  <dcterms:created xsi:type="dcterms:W3CDTF">2025-10-29T01:06:00Z</dcterms:created>
  <dcterms:modified xsi:type="dcterms:W3CDTF">2025-10-29T01:06:00Z</dcterms:modified>
</cp:coreProperties>
</file>