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CD18" w14:textId="7BC36D07" w:rsidR="00B70C4E" w:rsidRPr="0025070C" w:rsidRDefault="0025070C" w:rsidP="0025070C">
      <w:pPr>
        <w:jc w:val="center"/>
        <w:rPr>
          <w:rFonts w:ascii="Calibri" w:hAnsi="Calibri" w:cs="Calibri"/>
          <w:b/>
          <w:bCs/>
          <w:sz w:val="28"/>
          <w:szCs w:val="28"/>
        </w:rPr>
      </w:pPr>
      <w:r w:rsidRPr="0025070C">
        <w:rPr>
          <w:rFonts w:ascii="Calibri" w:hAnsi="Calibri" w:cs="Calibri"/>
          <w:b/>
          <w:bCs/>
          <w:sz w:val="28"/>
          <w:szCs w:val="28"/>
        </w:rPr>
        <w:t xml:space="preserve">USPTO’s results from January 1 to December 31 in 2022 </w:t>
      </w:r>
      <w:r w:rsidR="00584DB3">
        <w:rPr>
          <w:rFonts w:ascii="Calibri" w:hAnsi="Calibri" w:cs="Calibri"/>
          <w:b/>
          <w:bCs/>
          <w:sz w:val="28"/>
          <w:szCs w:val="28"/>
        </w:rPr>
        <w:t>- 2024</w:t>
      </w:r>
    </w:p>
    <w:tbl>
      <w:tblPr>
        <w:tblStyle w:val="TableGrid"/>
        <w:tblW w:w="10621" w:type="dxa"/>
        <w:tblInd w:w="-636" w:type="dxa"/>
        <w:tblLook w:val="04A0" w:firstRow="1" w:lastRow="0" w:firstColumn="1" w:lastColumn="0" w:noHBand="0" w:noVBand="1"/>
      </w:tblPr>
      <w:tblGrid>
        <w:gridCol w:w="4321"/>
        <w:gridCol w:w="1890"/>
        <w:gridCol w:w="1440"/>
        <w:gridCol w:w="1440"/>
        <w:gridCol w:w="1530"/>
      </w:tblGrid>
      <w:tr w:rsidR="00A546A7" w:rsidRPr="0025070C" w14:paraId="4B29E93F" w14:textId="48FE54ED" w:rsidTr="00813B6D">
        <w:trPr>
          <w:trHeight w:val="630"/>
        </w:trPr>
        <w:tc>
          <w:tcPr>
            <w:tcW w:w="4321" w:type="dxa"/>
            <w:vAlign w:val="center"/>
          </w:tcPr>
          <w:p w14:paraId="3181C9DD" w14:textId="0092C0A1" w:rsidR="0039618F" w:rsidRPr="0025070C" w:rsidRDefault="0039618F" w:rsidP="0025070C">
            <w:pPr>
              <w:jc w:val="center"/>
              <w:rPr>
                <w:rFonts w:ascii="Calibri" w:hAnsi="Calibri" w:cs="Calibri"/>
                <w:b/>
                <w:bCs/>
                <w:sz w:val="28"/>
                <w:szCs w:val="28"/>
              </w:rPr>
            </w:pPr>
            <w:r>
              <w:rPr>
                <w:rFonts w:ascii="Calibri" w:hAnsi="Calibri" w:cs="Calibri"/>
                <w:b/>
                <w:bCs/>
                <w:sz w:val="28"/>
                <w:szCs w:val="28"/>
              </w:rPr>
              <w:t>PPH Pendency Initiative</w:t>
            </w:r>
          </w:p>
        </w:tc>
        <w:tc>
          <w:tcPr>
            <w:tcW w:w="1890" w:type="dxa"/>
            <w:vAlign w:val="center"/>
          </w:tcPr>
          <w:p w14:paraId="5B29FBA0" w14:textId="6B68BFED" w:rsidR="0039618F" w:rsidRPr="0025070C" w:rsidRDefault="0039618F" w:rsidP="0025070C">
            <w:pPr>
              <w:jc w:val="center"/>
              <w:rPr>
                <w:rFonts w:ascii="Calibri" w:hAnsi="Calibri" w:cs="Calibri"/>
                <w:b/>
                <w:bCs/>
                <w:sz w:val="28"/>
                <w:szCs w:val="28"/>
              </w:rPr>
            </w:pPr>
            <w:r>
              <w:rPr>
                <w:rFonts w:ascii="Calibri" w:hAnsi="Calibri" w:cs="Calibri"/>
                <w:b/>
                <w:bCs/>
                <w:sz w:val="28"/>
                <w:szCs w:val="28"/>
              </w:rPr>
              <w:t>Target</w:t>
            </w:r>
          </w:p>
        </w:tc>
        <w:tc>
          <w:tcPr>
            <w:tcW w:w="1440" w:type="dxa"/>
            <w:vAlign w:val="center"/>
          </w:tcPr>
          <w:p w14:paraId="74A708E1" w14:textId="555F7C49" w:rsidR="0039618F" w:rsidRPr="0025070C" w:rsidRDefault="0039618F" w:rsidP="0025070C">
            <w:pPr>
              <w:jc w:val="center"/>
              <w:rPr>
                <w:rFonts w:ascii="Calibri" w:hAnsi="Calibri" w:cs="Calibri"/>
                <w:b/>
                <w:bCs/>
                <w:sz w:val="28"/>
                <w:szCs w:val="28"/>
              </w:rPr>
            </w:pPr>
            <w:r>
              <w:rPr>
                <w:rFonts w:ascii="Calibri" w:hAnsi="Calibri" w:cs="Calibri"/>
                <w:b/>
                <w:bCs/>
                <w:sz w:val="28"/>
                <w:szCs w:val="28"/>
              </w:rPr>
              <w:t>2022</w:t>
            </w:r>
          </w:p>
        </w:tc>
        <w:tc>
          <w:tcPr>
            <w:tcW w:w="1440" w:type="dxa"/>
            <w:vAlign w:val="center"/>
          </w:tcPr>
          <w:p w14:paraId="470CA52F" w14:textId="6282F59C" w:rsidR="0039618F" w:rsidRPr="0025070C" w:rsidRDefault="0039618F" w:rsidP="0025070C">
            <w:pPr>
              <w:jc w:val="center"/>
              <w:rPr>
                <w:rFonts w:ascii="Calibri" w:hAnsi="Calibri" w:cs="Calibri"/>
                <w:b/>
                <w:bCs/>
                <w:sz w:val="28"/>
                <w:szCs w:val="28"/>
              </w:rPr>
            </w:pPr>
            <w:r>
              <w:rPr>
                <w:rFonts w:ascii="Calibri" w:hAnsi="Calibri" w:cs="Calibri"/>
                <w:b/>
                <w:bCs/>
                <w:sz w:val="28"/>
                <w:szCs w:val="28"/>
              </w:rPr>
              <w:t>2023</w:t>
            </w:r>
          </w:p>
        </w:tc>
        <w:tc>
          <w:tcPr>
            <w:tcW w:w="1530" w:type="dxa"/>
            <w:vAlign w:val="center"/>
          </w:tcPr>
          <w:p w14:paraId="600CE408" w14:textId="4AC686AF" w:rsidR="0039618F" w:rsidRDefault="00A546A7" w:rsidP="00A546A7">
            <w:pPr>
              <w:jc w:val="center"/>
              <w:rPr>
                <w:rFonts w:ascii="Calibri" w:hAnsi="Calibri" w:cs="Calibri"/>
                <w:b/>
                <w:bCs/>
                <w:sz w:val="28"/>
                <w:szCs w:val="28"/>
              </w:rPr>
            </w:pPr>
            <w:r>
              <w:rPr>
                <w:rFonts w:ascii="Calibri" w:hAnsi="Calibri" w:cs="Calibri"/>
                <w:b/>
                <w:bCs/>
                <w:sz w:val="28"/>
                <w:szCs w:val="28"/>
              </w:rPr>
              <w:t>202</w:t>
            </w:r>
            <w:r w:rsidR="00584DB3">
              <w:rPr>
                <w:rFonts w:ascii="Calibri" w:hAnsi="Calibri" w:cs="Calibri"/>
                <w:b/>
                <w:bCs/>
                <w:sz w:val="28"/>
                <w:szCs w:val="28"/>
              </w:rPr>
              <w:t>4</w:t>
            </w:r>
          </w:p>
        </w:tc>
      </w:tr>
      <w:tr w:rsidR="00A546A7" w:rsidRPr="0025070C" w14:paraId="724A447F" w14:textId="1C9D1D03" w:rsidTr="00813B6D">
        <w:trPr>
          <w:trHeight w:val="803"/>
        </w:trPr>
        <w:tc>
          <w:tcPr>
            <w:tcW w:w="4321" w:type="dxa"/>
            <w:vAlign w:val="center"/>
          </w:tcPr>
          <w:p w14:paraId="21E5E251" w14:textId="68F72C63" w:rsidR="0039618F" w:rsidRPr="0025070C" w:rsidRDefault="0039618F" w:rsidP="0025070C">
            <w:pPr>
              <w:rPr>
                <w:rFonts w:ascii="Calibri" w:hAnsi="Calibri" w:cs="Calibri"/>
                <w:sz w:val="24"/>
                <w:szCs w:val="24"/>
              </w:rPr>
            </w:pPr>
            <w:r w:rsidRPr="0025070C">
              <w:rPr>
                <w:rFonts w:ascii="Calibri" w:hAnsi="Calibri" w:cs="Calibri"/>
                <w:sz w:val="24"/>
                <w:szCs w:val="24"/>
              </w:rPr>
              <w:t>Average period</w:t>
            </w:r>
            <w:r>
              <w:rPr>
                <w:rFonts w:ascii="Calibri" w:hAnsi="Calibri" w:cs="Calibri"/>
                <w:sz w:val="24"/>
                <w:szCs w:val="24"/>
              </w:rPr>
              <w:t xml:space="preserve"> from completion of PPH request to first office action on merits</w:t>
            </w:r>
          </w:p>
        </w:tc>
        <w:tc>
          <w:tcPr>
            <w:tcW w:w="1890" w:type="dxa"/>
            <w:vAlign w:val="center"/>
          </w:tcPr>
          <w:p w14:paraId="0B27FB65" w14:textId="335D721D" w:rsidR="0039618F" w:rsidRPr="0025070C" w:rsidRDefault="0039618F" w:rsidP="0025070C">
            <w:pPr>
              <w:rPr>
                <w:rFonts w:ascii="Calibri" w:hAnsi="Calibri" w:cs="Calibri"/>
                <w:sz w:val="28"/>
                <w:szCs w:val="28"/>
              </w:rPr>
            </w:pPr>
            <w:r w:rsidRPr="0025070C">
              <w:rPr>
                <w:rFonts w:ascii="Calibri" w:hAnsi="Calibri" w:cs="Calibri"/>
                <w:sz w:val="24"/>
                <w:szCs w:val="24"/>
              </w:rPr>
              <w:t>within 3 months</w:t>
            </w:r>
          </w:p>
        </w:tc>
        <w:tc>
          <w:tcPr>
            <w:tcW w:w="1440" w:type="dxa"/>
            <w:vAlign w:val="center"/>
          </w:tcPr>
          <w:p w14:paraId="17E40D7D" w14:textId="50DC5D33" w:rsidR="0039618F" w:rsidRPr="0025070C" w:rsidRDefault="0039618F" w:rsidP="00A546A7">
            <w:pPr>
              <w:jc w:val="center"/>
              <w:rPr>
                <w:rFonts w:ascii="Calibri" w:hAnsi="Calibri" w:cs="Calibri"/>
                <w:sz w:val="24"/>
                <w:szCs w:val="24"/>
              </w:rPr>
            </w:pPr>
            <w:r w:rsidRPr="0025070C">
              <w:rPr>
                <w:rFonts w:ascii="Calibri" w:hAnsi="Calibri" w:cs="Calibri"/>
                <w:sz w:val="24"/>
                <w:szCs w:val="24"/>
              </w:rPr>
              <w:t>3.</w:t>
            </w:r>
            <w:r>
              <w:rPr>
                <w:rFonts w:ascii="Calibri" w:hAnsi="Calibri" w:cs="Calibri"/>
                <w:sz w:val="24"/>
                <w:szCs w:val="24"/>
              </w:rPr>
              <w:t>0</w:t>
            </w:r>
            <w:r w:rsidRPr="0025070C">
              <w:rPr>
                <w:rFonts w:ascii="Calibri" w:hAnsi="Calibri" w:cs="Calibri"/>
                <w:sz w:val="24"/>
                <w:szCs w:val="24"/>
              </w:rPr>
              <w:t xml:space="preserve"> months</w:t>
            </w:r>
          </w:p>
        </w:tc>
        <w:tc>
          <w:tcPr>
            <w:tcW w:w="1440" w:type="dxa"/>
            <w:vAlign w:val="center"/>
          </w:tcPr>
          <w:p w14:paraId="22E625F1" w14:textId="0FFC8FA6" w:rsidR="0039618F" w:rsidRPr="0025070C" w:rsidRDefault="0039618F" w:rsidP="00A546A7">
            <w:pPr>
              <w:jc w:val="center"/>
              <w:rPr>
                <w:rFonts w:ascii="Calibri" w:hAnsi="Calibri" w:cs="Calibri"/>
                <w:sz w:val="24"/>
                <w:szCs w:val="24"/>
              </w:rPr>
            </w:pPr>
            <w:r w:rsidRPr="0025070C">
              <w:rPr>
                <w:rFonts w:ascii="Calibri" w:hAnsi="Calibri" w:cs="Calibri"/>
                <w:sz w:val="24"/>
                <w:szCs w:val="24"/>
              </w:rPr>
              <w:t>3.</w:t>
            </w:r>
            <w:r>
              <w:rPr>
                <w:rFonts w:ascii="Calibri" w:hAnsi="Calibri" w:cs="Calibri"/>
                <w:sz w:val="24"/>
                <w:szCs w:val="24"/>
              </w:rPr>
              <w:t>2</w:t>
            </w:r>
            <w:r w:rsidRPr="0025070C">
              <w:rPr>
                <w:rFonts w:ascii="Calibri" w:hAnsi="Calibri" w:cs="Calibri"/>
                <w:sz w:val="24"/>
                <w:szCs w:val="24"/>
              </w:rPr>
              <w:t xml:space="preserve"> months</w:t>
            </w:r>
          </w:p>
        </w:tc>
        <w:tc>
          <w:tcPr>
            <w:tcW w:w="1530" w:type="dxa"/>
            <w:vAlign w:val="center"/>
          </w:tcPr>
          <w:p w14:paraId="526EAFF0" w14:textId="334B5A0E" w:rsidR="0039618F" w:rsidRPr="0025070C" w:rsidRDefault="00577A29" w:rsidP="00A546A7">
            <w:pPr>
              <w:jc w:val="center"/>
              <w:rPr>
                <w:rFonts w:ascii="Calibri" w:hAnsi="Calibri" w:cs="Calibri"/>
                <w:sz w:val="24"/>
                <w:szCs w:val="24"/>
              </w:rPr>
            </w:pPr>
            <w:r>
              <w:rPr>
                <w:rFonts w:ascii="Calibri" w:hAnsi="Calibri" w:cs="Calibri"/>
                <w:sz w:val="24"/>
                <w:szCs w:val="24"/>
              </w:rPr>
              <w:t>2.7 months</w:t>
            </w:r>
          </w:p>
        </w:tc>
      </w:tr>
      <w:tr w:rsidR="00A546A7" w:rsidRPr="0025070C" w14:paraId="34D5409B" w14:textId="57A31E53" w:rsidTr="00813B6D">
        <w:trPr>
          <w:trHeight w:val="1109"/>
        </w:trPr>
        <w:tc>
          <w:tcPr>
            <w:tcW w:w="4321" w:type="dxa"/>
            <w:vAlign w:val="center"/>
          </w:tcPr>
          <w:p w14:paraId="2632B3F3" w14:textId="4568CC9F" w:rsidR="0039618F" w:rsidRPr="0025070C" w:rsidRDefault="0039618F" w:rsidP="0025070C">
            <w:pPr>
              <w:rPr>
                <w:rFonts w:ascii="Calibri" w:hAnsi="Calibri" w:cs="Calibri"/>
                <w:sz w:val="24"/>
                <w:szCs w:val="24"/>
              </w:rPr>
            </w:pPr>
            <w:r>
              <w:rPr>
                <w:rFonts w:ascii="Calibri" w:hAnsi="Calibri" w:cs="Calibri"/>
                <w:sz w:val="24"/>
                <w:szCs w:val="24"/>
              </w:rPr>
              <w:t>Average period from applicant’s response to the first office action on the merits to subsequent office action</w:t>
            </w:r>
          </w:p>
        </w:tc>
        <w:tc>
          <w:tcPr>
            <w:tcW w:w="1890" w:type="dxa"/>
            <w:vAlign w:val="center"/>
          </w:tcPr>
          <w:p w14:paraId="022E35D7" w14:textId="55AF25CA" w:rsidR="0039618F" w:rsidRPr="0025070C" w:rsidRDefault="0039618F" w:rsidP="0025070C">
            <w:pPr>
              <w:rPr>
                <w:rFonts w:ascii="Calibri" w:hAnsi="Calibri" w:cs="Calibri"/>
                <w:b/>
                <w:bCs/>
                <w:sz w:val="28"/>
                <w:szCs w:val="28"/>
              </w:rPr>
            </w:pPr>
            <w:r w:rsidRPr="0025070C">
              <w:rPr>
                <w:rFonts w:ascii="Calibri" w:hAnsi="Calibri" w:cs="Calibri"/>
                <w:sz w:val="24"/>
                <w:szCs w:val="24"/>
              </w:rPr>
              <w:t>within 3 months</w:t>
            </w:r>
          </w:p>
        </w:tc>
        <w:tc>
          <w:tcPr>
            <w:tcW w:w="1440" w:type="dxa"/>
            <w:vAlign w:val="center"/>
          </w:tcPr>
          <w:p w14:paraId="41D4344D" w14:textId="35D84C40" w:rsidR="0039618F" w:rsidRPr="0025070C" w:rsidRDefault="0039618F" w:rsidP="00A546A7">
            <w:pPr>
              <w:jc w:val="center"/>
              <w:rPr>
                <w:rFonts w:ascii="Calibri" w:hAnsi="Calibri" w:cs="Calibri"/>
                <w:b/>
                <w:bCs/>
                <w:sz w:val="28"/>
                <w:szCs w:val="28"/>
              </w:rPr>
            </w:pPr>
            <w:r>
              <w:rPr>
                <w:rFonts w:ascii="Calibri" w:hAnsi="Calibri" w:cs="Calibri"/>
                <w:sz w:val="24"/>
                <w:szCs w:val="24"/>
              </w:rPr>
              <w:t>0.9</w:t>
            </w:r>
            <w:r w:rsidRPr="0025070C">
              <w:rPr>
                <w:rFonts w:ascii="Calibri" w:hAnsi="Calibri" w:cs="Calibri"/>
                <w:sz w:val="24"/>
                <w:szCs w:val="24"/>
              </w:rPr>
              <w:t xml:space="preserve"> month</w:t>
            </w:r>
          </w:p>
        </w:tc>
        <w:tc>
          <w:tcPr>
            <w:tcW w:w="1440" w:type="dxa"/>
            <w:vAlign w:val="center"/>
          </w:tcPr>
          <w:p w14:paraId="04E7347D" w14:textId="24CBCAA3" w:rsidR="0039618F" w:rsidRPr="0025070C" w:rsidRDefault="0039618F" w:rsidP="00A546A7">
            <w:pPr>
              <w:jc w:val="center"/>
              <w:rPr>
                <w:rFonts w:ascii="Calibri" w:hAnsi="Calibri" w:cs="Calibri"/>
                <w:b/>
                <w:bCs/>
                <w:sz w:val="28"/>
                <w:szCs w:val="28"/>
              </w:rPr>
            </w:pPr>
            <w:r>
              <w:rPr>
                <w:rFonts w:ascii="Calibri" w:hAnsi="Calibri" w:cs="Calibri"/>
                <w:sz w:val="24"/>
                <w:szCs w:val="24"/>
              </w:rPr>
              <w:t>0</w:t>
            </w:r>
            <w:r w:rsidRPr="0025070C">
              <w:rPr>
                <w:rFonts w:ascii="Calibri" w:hAnsi="Calibri" w:cs="Calibri"/>
                <w:sz w:val="24"/>
                <w:szCs w:val="24"/>
              </w:rPr>
              <w:t>.</w:t>
            </w:r>
            <w:r>
              <w:rPr>
                <w:rFonts w:ascii="Calibri" w:hAnsi="Calibri" w:cs="Calibri"/>
                <w:sz w:val="24"/>
                <w:szCs w:val="24"/>
              </w:rPr>
              <w:t>9</w:t>
            </w:r>
            <w:r w:rsidRPr="0025070C">
              <w:rPr>
                <w:rFonts w:ascii="Calibri" w:hAnsi="Calibri" w:cs="Calibri"/>
                <w:sz w:val="24"/>
                <w:szCs w:val="24"/>
              </w:rPr>
              <w:t xml:space="preserve"> month</w:t>
            </w:r>
          </w:p>
        </w:tc>
        <w:tc>
          <w:tcPr>
            <w:tcW w:w="1530" w:type="dxa"/>
            <w:vAlign w:val="center"/>
          </w:tcPr>
          <w:p w14:paraId="27CF3670" w14:textId="16E3C8A4" w:rsidR="0039618F" w:rsidRDefault="00865504" w:rsidP="00A546A7">
            <w:pPr>
              <w:jc w:val="center"/>
              <w:rPr>
                <w:rFonts w:ascii="Calibri" w:hAnsi="Calibri" w:cs="Calibri"/>
                <w:sz w:val="24"/>
                <w:szCs w:val="24"/>
              </w:rPr>
            </w:pPr>
            <w:r>
              <w:rPr>
                <w:rFonts w:ascii="Calibri" w:hAnsi="Calibri" w:cs="Calibri"/>
                <w:sz w:val="24"/>
                <w:szCs w:val="24"/>
              </w:rPr>
              <w:t>0.9</w:t>
            </w:r>
            <w:r w:rsidR="009A3916">
              <w:rPr>
                <w:rFonts w:ascii="Calibri" w:hAnsi="Calibri" w:cs="Calibri"/>
                <w:sz w:val="24"/>
                <w:szCs w:val="24"/>
              </w:rPr>
              <w:t xml:space="preserve"> months</w:t>
            </w:r>
          </w:p>
        </w:tc>
      </w:tr>
    </w:tbl>
    <w:p w14:paraId="7F8E4311" w14:textId="77777777" w:rsidR="00946046" w:rsidRDefault="00946046" w:rsidP="00946046">
      <w:pPr>
        <w:tabs>
          <w:tab w:val="left" w:pos="0"/>
        </w:tabs>
        <w:spacing w:after="0" w:line="259" w:lineRule="auto"/>
        <w:rPr>
          <w:rFonts w:eastAsia="Calibri" w:cs="Cordia New"/>
        </w:rPr>
      </w:pPr>
    </w:p>
    <w:p w14:paraId="572EDBE7" w14:textId="707CD1EC" w:rsidR="00946046" w:rsidRPr="00946046" w:rsidRDefault="00946046" w:rsidP="00946046">
      <w:pPr>
        <w:spacing w:after="160" w:line="259" w:lineRule="auto"/>
        <w:ind w:left="-360"/>
        <w:rPr>
          <w:rFonts w:ascii="Calibri" w:eastAsia="Calibri" w:hAnsi="Calibri" w:cs="Cordia New"/>
        </w:rPr>
      </w:pPr>
      <w:r w:rsidRPr="00946046">
        <w:rPr>
          <w:rFonts w:ascii="Calibri" w:eastAsia="Calibri" w:hAnsi="Calibri" w:cs="Cordia New"/>
        </w:rPr>
        <w:t>(Note 1) The “completion of PPH request” is the point in time when the formal processing (i.e., eligibility check) of a PPH request is completed. At the USPTO, the expression represents the mail date of a decision on petition granting special status under the PPH.</w:t>
      </w:r>
    </w:p>
    <w:p w14:paraId="3BB70868" w14:textId="239055ED" w:rsidR="00946046" w:rsidRDefault="00946046" w:rsidP="00946046">
      <w:pPr>
        <w:spacing w:after="160" w:line="259" w:lineRule="auto"/>
        <w:ind w:left="-360"/>
        <w:rPr>
          <w:rFonts w:ascii="Calibri" w:eastAsia="Calibri" w:hAnsi="Calibri" w:cs="Cordia New"/>
        </w:rPr>
      </w:pPr>
      <w:r w:rsidRPr="00946046">
        <w:rPr>
          <w:rFonts w:ascii="Calibri" w:eastAsia="Calibri" w:hAnsi="Calibri" w:cs="Cordia New"/>
        </w:rPr>
        <w:t> (Note 2) The starting point of “applicant’s response” is the point in time when the formal processing of the applicant’s response is completed and the application is forwarded to the examiner for the next office action.</w:t>
      </w:r>
    </w:p>
    <w:p w14:paraId="0C188919" w14:textId="77777777" w:rsidR="00946046" w:rsidRPr="0025070C" w:rsidRDefault="00946046" w:rsidP="0025070C">
      <w:pPr>
        <w:rPr>
          <w:rFonts w:cs="Segoe UI"/>
          <w:b/>
          <w:bCs/>
          <w:sz w:val="28"/>
          <w:szCs w:val="28"/>
        </w:rPr>
      </w:pPr>
    </w:p>
    <w:sectPr w:rsidR="00946046" w:rsidRPr="002507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22A6" w14:textId="77777777" w:rsidR="00C0739A" w:rsidRDefault="00C0739A" w:rsidP="00217AAB">
      <w:pPr>
        <w:spacing w:after="0" w:line="240" w:lineRule="auto"/>
      </w:pPr>
      <w:r>
        <w:separator/>
      </w:r>
    </w:p>
  </w:endnote>
  <w:endnote w:type="continuationSeparator" w:id="0">
    <w:p w14:paraId="473565EA" w14:textId="77777777" w:rsidR="00C0739A" w:rsidRDefault="00C0739A" w:rsidP="0021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B4FD" w14:textId="77777777" w:rsidR="00C0739A" w:rsidRDefault="00C0739A" w:rsidP="00217AAB">
      <w:pPr>
        <w:spacing w:after="0" w:line="240" w:lineRule="auto"/>
      </w:pPr>
      <w:r>
        <w:separator/>
      </w:r>
    </w:p>
  </w:footnote>
  <w:footnote w:type="continuationSeparator" w:id="0">
    <w:p w14:paraId="3A13FF77" w14:textId="77777777" w:rsidR="00C0739A" w:rsidRDefault="00C0739A" w:rsidP="00217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43FF" w14:textId="77777777" w:rsidR="00217AAB" w:rsidRDefault="00217AAB">
    <w:pPr>
      <w:pStyle w:val="Header"/>
    </w:pPr>
    <w:r>
      <w:rPr>
        <w:noProof/>
      </w:rPr>
      <w:drawing>
        <wp:anchor distT="0" distB="0" distL="114300" distR="114300" simplePos="0" relativeHeight="251659264" behindDoc="1" locked="0" layoutInCell="1" allowOverlap="1" wp14:anchorId="42F90672" wp14:editId="66791216">
          <wp:simplePos x="0" y="0"/>
          <wp:positionH relativeFrom="page">
            <wp:align>right</wp:align>
          </wp:positionH>
          <wp:positionV relativeFrom="page">
            <wp:posOffset>24063</wp:posOffset>
          </wp:positionV>
          <wp:extent cx="7757961" cy="10039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 Illustrator starter page no bleed letter.emf"/>
                  <pic:cNvPicPr/>
                </pic:nvPicPr>
                <pic:blipFill>
                  <a:blip r:embed="rId1">
                    <a:extLst>
                      <a:ext uri="{28A0092B-C50C-407E-A947-70E740481C1C}">
                        <a14:useLocalDpi xmlns:a14="http://schemas.microsoft.com/office/drawing/2010/main" val="0"/>
                      </a:ext>
                    </a:extLst>
                  </a:blip>
                  <a:stretch>
                    <a:fillRect/>
                  </a:stretch>
                </pic:blipFill>
                <pic:spPr>
                  <a:xfrm>
                    <a:off x="0" y="0"/>
                    <a:ext cx="7757961" cy="100397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4A"/>
    <w:rsid w:val="001766ED"/>
    <w:rsid w:val="00217AAB"/>
    <w:rsid w:val="00245ED4"/>
    <w:rsid w:val="0025070C"/>
    <w:rsid w:val="002808A1"/>
    <w:rsid w:val="00290641"/>
    <w:rsid w:val="00300C85"/>
    <w:rsid w:val="0039618F"/>
    <w:rsid w:val="004956AC"/>
    <w:rsid w:val="00577A29"/>
    <w:rsid w:val="00584DB3"/>
    <w:rsid w:val="006A277C"/>
    <w:rsid w:val="006D39B0"/>
    <w:rsid w:val="00813B6D"/>
    <w:rsid w:val="00865504"/>
    <w:rsid w:val="008A52C9"/>
    <w:rsid w:val="00946046"/>
    <w:rsid w:val="00966A89"/>
    <w:rsid w:val="00993213"/>
    <w:rsid w:val="009A3916"/>
    <w:rsid w:val="00A3311E"/>
    <w:rsid w:val="00A546A7"/>
    <w:rsid w:val="00B37A03"/>
    <w:rsid w:val="00B56D0B"/>
    <w:rsid w:val="00B70C4E"/>
    <w:rsid w:val="00C0739A"/>
    <w:rsid w:val="00D85C4A"/>
    <w:rsid w:val="00E435A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08E034"/>
  <w15:chartTrackingRefBased/>
  <w15:docId w15:val="{D91330D7-CA52-4D65-8EE4-6A0B1B7A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7C"/>
    <w:rPr>
      <w:rFonts w:ascii="Segoe UI" w:hAnsi="Segoe UI"/>
    </w:rPr>
  </w:style>
  <w:style w:type="paragraph" w:styleId="Heading1">
    <w:name w:val="heading 1"/>
    <w:basedOn w:val="Normal"/>
    <w:next w:val="Normal"/>
    <w:link w:val="Heading1Char"/>
    <w:uiPriority w:val="9"/>
    <w:qFormat/>
    <w:rsid w:val="006A277C"/>
    <w:pPr>
      <w:keepNext/>
      <w:keepLines/>
      <w:spacing w:before="240" w:after="0"/>
      <w:outlineLvl w:val="0"/>
    </w:pPr>
    <w:rPr>
      <w:rFonts w:asciiTheme="majorHAnsi" w:eastAsiaTheme="majorEastAsia" w:hAnsiTheme="majorHAnsi" w:cstheme="majorBidi"/>
      <w:color w:val="0074A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AAB"/>
  </w:style>
  <w:style w:type="paragraph" w:styleId="Footer">
    <w:name w:val="footer"/>
    <w:basedOn w:val="Normal"/>
    <w:link w:val="FooterChar"/>
    <w:uiPriority w:val="99"/>
    <w:unhideWhenUsed/>
    <w:rsid w:val="00217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AAB"/>
  </w:style>
  <w:style w:type="character" w:customStyle="1" w:styleId="Heading1Char">
    <w:name w:val="Heading 1 Char"/>
    <w:basedOn w:val="DefaultParagraphFont"/>
    <w:link w:val="Heading1"/>
    <w:uiPriority w:val="9"/>
    <w:rsid w:val="006A277C"/>
    <w:rPr>
      <w:rFonts w:asciiTheme="majorHAnsi" w:eastAsiaTheme="majorEastAsia" w:hAnsiTheme="majorHAnsi" w:cstheme="majorBidi"/>
      <w:color w:val="0074A6" w:themeColor="accent1" w:themeShade="BF"/>
      <w:sz w:val="32"/>
      <w:szCs w:val="32"/>
    </w:rPr>
  </w:style>
  <w:style w:type="table" w:styleId="TableGrid">
    <w:name w:val="Table Grid"/>
    <w:basedOn w:val="TableNormal"/>
    <w:uiPriority w:val="59"/>
    <w:rsid w:val="0025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eek\Downloads\brand_one-sheet_template_navy_new_logo_bar%20(8).dotx" TargetMode="External"/></Relationships>
</file>

<file path=word/theme/theme1.xml><?xml version="1.0" encoding="utf-8"?>
<a:theme xmlns:a="http://schemas.openxmlformats.org/drawingml/2006/main" name="Office Theme">
  <a:themeElements>
    <a:clrScheme name="USPTO Brand">
      <a:dk1>
        <a:sysClr val="windowText" lastClr="000000"/>
      </a:dk1>
      <a:lt1>
        <a:sysClr val="window" lastClr="FFFFFF"/>
      </a:lt1>
      <a:dk2>
        <a:srgbClr val="004C97"/>
      </a:dk2>
      <a:lt2>
        <a:srgbClr val="EEECE1"/>
      </a:lt2>
      <a:accent1>
        <a:srgbClr val="009CDE"/>
      </a:accent1>
      <a:accent2>
        <a:srgbClr val="A6192E"/>
      </a:accent2>
      <a:accent3>
        <a:srgbClr val="7A9A01"/>
      </a:accent3>
      <a:accent4>
        <a:srgbClr val="671E75"/>
      </a:accent4>
      <a:accent5>
        <a:srgbClr val="4BACC6"/>
      </a:accent5>
      <a:accent6>
        <a:srgbClr val="F2A900"/>
      </a:accent6>
      <a:hlink>
        <a:srgbClr val="004C97"/>
      </a:hlink>
      <a:folHlink>
        <a:srgbClr val="BB16A3"/>
      </a:folHlink>
    </a:clrScheme>
    <a:fontScheme name="Custom 1">
      <a:majorFont>
        <a:latin typeface="Segoe UI Semibold"/>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brand_one-sheet_template_navy_new_logo_bar (8)</Template>
  <TotalTime>45</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USPTO</dc:creator>
  <cp:keywords/>
  <dc:description/>
  <cp:lastModifiedBy>USPTO</cp:lastModifiedBy>
  <cp:revision>18</cp:revision>
  <dcterms:created xsi:type="dcterms:W3CDTF">2024-04-23T18:16:00Z</dcterms:created>
  <dcterms:modified xsi:type="dcterms:W3CDTF">2025-05-12T14:19:00Z</dcterms:modified>
</cp:coreProperties>
</file>